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1" w:rsidRDefault="00E26E7C">
      <w:pPr>
        <w:jc w:val="both"/>
        <w:rPr>
          <w:rFonts w:ascii="Calibri" w:eastAsia="Calibri" w:hAnsi="Calibri" w:cs="Calibri"/>
          <w:b/>
          <w:sz w:val="22"/>
          <w:szCs w:val="22"/>
        </w:rPr>
      </w:pPr>
      <w:r>
        <w:rPr>
          <w:noProof/>
          <w:lang w:val="en-US"/>
        </w:rPr>
        <w:drawing>
          <wp:anchor distT="0" distB="0" distL="114300" distR="114300" simplePos="0" relativeHeight="251658240" behindDoc="0" locked="0" layoutInCell="1" hidden="0" allowOverlap="1">
            <wp:simplePos x="0" y="0"/>
            <wp:positionH relativeFrom="column">
              <wp:posOffset>-385753</wp:posOffset>
            </wp:positionH>
            <wp:positionV relativeFrom="paragraph">
              <wp:posOffset>-323959</wp:posOffset>
            </wp:positionV>
            <wp:extent cx="997708" cy="477672"/>
            <wp:effectExtent l="0" t="0" r="0" b="0"/>
            <wp:wrapNone/>
            <wp:docPr id="4" name="image1.jpg" descr="UNFPA_LOGOM_cropped.jpg"/>
            <wp:cNvGraphicFramePr/>
            <a:graphic xmlns:a="http://schemas.openxmlformats.org/drawingml/2006/main">
              <a:graphicData uri="http://schemas.openxmlformats.org/drawingml/2006/picture">
                <pic:pic xmlns:pic="http://schemas.openxmlformats.org/drawingml/2006/picture">
                  <pic:nvPicPr>
                    <pic:cNvPr id="0" name="image1.jpg" descr="UNFPA_LOGOM_cropped.jpg"/>
                    <pic:cNvPicPr preferRelativeResize="0"/>
                  </pic:nvPicPr>
                  <pic:blipFill>
                    <a:blip r:embed="rId8"/>
                    <a:srcRect/>
                    <a:stretch>
                      <a:fillRect/>
                    </a:stretch>
                  </pic:blipFill>
                  <pic:spPr>
                    <a:xfrm>
                      <a:off x="0" y="0"/>
                      <a:ext cx="997708" cy="477672"/>
                    </a:xfrm>
                    <a:prstGeom prst="rect">
                      <a:avLst/>
                    </a:prstGeom>
                    <a:ln/>
                  </pic:spPr>
                </pic:pic>
              </a:graphicData>
            </a:graphic>
          </wp:anchor>
        </w:drawing>
      </w:r>
    </w:p>
    <w:p w:rsidR="00051E31" w:rsidRDefault="00E26E7C">
      <w:pPr>
        <w:jc w:val="center"/>
        <w:rPr>
          <w:rFonts w:ascii="Calibri" w:eastAsia="Calibri" w:hAnsi="Calibri" w:cs="Calibri"/>
          <w:b/>
          <w:sz w:val="22"/>
          <w:szCs w:val="22"/>
        </w:rPr>
      </w:pPr>
      <w:r>
        <w:rPr>
          <w:rFonts w:ascii="Calibri" w:eastAsia="Calibri" w:hAnsi="Calibri" w:cs="Calibri"/>
          <w:b/>
          <w:sz w:val="22"/>
          <w:szCs w:val="22"/>
        </w:rPr>
        <w:t>TERMS OF REFERENCE</w:t>
      </w:r>
    </w:p>
    <w:p w:rsidR="00051E31" w:rsidRDefault="00051E31">
      <w:pPr>
        <w:jc w:val="both"/>
        <w:rPr>
          <w:rFonts w:ascii="Calibri" w:eastAsia="Calibri" w:hAnsi="Calibri" w:cs="Calibri"/>
          <w:b/>
          <w:sz w:val="22"/>
          <w:szCs w:val="22"/>
        </w:rPr>
      </w:pPr>
    </w:p>
    <w:p w:rsidR="00AD6726" w:rsidRDefault="00E26E7C">
      <w:pPr>
        <w:tabs>
          <w:tab w:val="left" w:pos="2410"/>
        </w:tabs>
        <w:spacing w:before="120" w:after="120"/>
        <w:ind w:left="2410" w:hanging="2410"/>
        <w:jc w:val="both"/>
        <w:rPr>
          <w:rFonts w:ascii="Calibri" w:eastAsia="Calibri" w:hAnsi="Calibri" w:cs="Calibri"/>
          <w:b/>
          <w:sz w:val="22"/>
          <w:szCs w:val="22"/>
        </w:rPr>
      </w:pPr>
      <w:r>
        <w:rPr>
          <w:rFonts w:ascii="Calibri" w:eastAsia="Calibri" w:hAnsi="Calibri" w:cs="Calibri"/>
          <w:b/>
          <w:sz w:val="22"/>
          <w:szCs w:val="22"/>
        </w:rPr>
        <w:t>Project Title:</w:t>
      </w:r>
      <w:r>
        <w:rPr>
          <w:rFonts w:ascii="Calibri" w:eastAsia="Calibri" w:hAnsi="Calibri" w:cs="Calibri"/>
          <w:b/>
          <w:sz w:val="22"/>
          <w:szCs w:val="22"/>
        </w:rPr>
        <w:tab/>
      </w:r>
      <w:r w:rsidR="00AD6726">
        <w:rPr>
          <w:rFonts w:ascii="Calibri" w:eastAsia="Calibri" w:hAnsi="Calibri" w:cs="Calibri"/>
          <w:b/>
          <w:sz w:val="22"/>
          <w:szCs w:val="22"/>
        </w:rPr>
        <w:t>Organization of T</w:t>
      </w:r>
      <w:r w:rsidR="0010253D">
        <w:rPr>
          <w:rFonts w:ascii="Calibri" w:eastAsia="Calibri" w:hAnsi="Calibri" w:cs="Calibri"/>
          <w:b/>
          <w:sz w:val="22"/>
          <w:szCs w:val="22"/>
        </w:rPr>
        <w:t xml:space="preserve">raining </w:t>
      </w:r>
      <w:r w:rsidR="00C35A6C">
        <w:rPr>
          <w:rFonts w:ascii="Calibri" w:eastAsia="Calibri" w:hAnsi="Calibri" w:cs="Calibri"/>
          <w:b/>
          <w:sz w:val="22"/>
          <w:szCs w:val="22"/>
        </w:rPr>
        <w:t>of</w:t>
      </w:r>
      <w:r w:rsidR="0010253D">
        <w:rPr>
          <w:rFonts w:ascii="Calibri" w:eastAsia="Calibri" w:hAnsi="Calibri" w:cs="Calibri"/>
          <w:b/>
          <w:sz w:val="22"/>
          <w:szCs w:val="22"/>
        </w:rPr>
        <w:t xml:space="preserve"> </w:t>
      </w:r>
      <w:r w:rsidR="00AD6726">
        <w:rPr>
          <w:rFonts w:ascii="Calibri" w:eastAsia="Calibri" w:hAnsi="Calibri" w:cs="Calibri"/>
          <w:b/>
          <w:sz w:val="22"/>
          <w:szCs w:val="22"/>
        </w:rPr>
        <w:t>T</w:t>
      </w:r>
      <w:r w:rsidR="0010253D">
        <w:rPr>
          <w:rFonts w:ascii="Calibri" w:eastAsia="Calibri" w:hAnsi="Calibri" w:cs="Calibri"/>
          <w:b/>
          <w:sz w:val="22"/>
          <w:szCs w:val="22"/>
        </w:rPr>
        <w:t xml:space="preserve">rainers </w:t>
      </w:r>
      <w:r w:rsidR="00C35A6C">
        <w:rPr>
          <w:rFonts w:ascii="Calibri" w:eastAsia="Calibri" w:hAnsi="Calibri" w:cs="Calibri"/>
          <w:b/>
          <w:sz w:val="22"/>
          <w:szCs w:val="22"/>
        </w:rPr>
        <w:t>(TOT</w:t>
      </w:r>
      <w:r w:rsidR="0010253D">
        <w:rPr>
          <w:rFonts w:ascii="Calibri" w:eastAsia="Calibri" w:hAnsi="Calibri" w:cs="Calibri"/>
          <w:b/>
          <w:sz w:val="22"/>
          <w:szCs w:val="22"/>
        </w:rPr>
        <w:t>)</w:t>
      </w:r>
      <w:r w:rsidR="00AD6726">
        <w:rPr>
          <w:rFonts w:ascii="Calibri" w:eastAsia="Calibri" w:hAnsi="Calibri" w:cs="Calibri"/>
          <w:b/>
          <w:sz w:val="22"/>
          <w:szCs w:val="22"/>
        </w:rPr>
        <w:t xml:space="preserve"> and </w:t>
      </w:r>
      <w:r w:rsidR="00C63A99">
        <w:rPr>
          <w:rFonts w:ascii="Calibri" w:eastAsia="Calibri" w:hAnsi="Calibri" w:cs="Calibri"/>
          <w:b/>
          <w:sz w:val="22"/>
          <w:szCs w:val="22"/>
        </w:rPr>
        <w:t xml:space="preserve">roll-out </w:t>
      </w:r>
      <w:r w:rsidR="00AD6726">
        <w:rPr>
          <w:rFonts w:ascii="Calibri" w:eastAsia="Calibri" w:hAnsi="Calibri" w:cs="Calibri"/>
          <w:b/>
          <w:sz w:val="22"/>
          <w:szCs w:val="22"/>
        </w:rPr>
        <w:t xml:space="preserve">of training for health care providers </w:t>
      </w:r>
      <w:r w:rsidR="00C63A99">
        <w:rPr>
          <w:rFonts w:ascii="Calibri" w:eastAsia="Calibri" w:hAnsi="Calibri" w:cs="Calibri"/>
          <w:b/>
          <w:sz w:val="22"/>
          <w:szCs w:val="22"/>
        </w:rPr>
        <w:t xml:space="preserve">on men engagement in prenatal care and childbirth </w:t>
      </w:r>
      <w:r w:rsidR="00AD6726">
        <w:rPr>
          <w:rFonts w:ascii="Calibri" w:eastAsia="Calibri" w:hAnsi="Calibri" w:cs="Calibri"/>
          <w:b/>
          <w:sz w:val="22"/>
          <w:szCs w:val="22"/>
        </w:rPr>
        <w:t xml:space="preserve">in Shirak, Tavush and Lori </w:t>
      </w:r>
      <w:proofErr w:type="spellStart"/>
      <w:r w:rsidR="00AD6726">
        <w:rPr>
          <w:rFonts w:ascii="Calibri" w:eastAsia="Calibri" w:hAnsi="Calibri" w:cs="Calibri"/>
          <w:b/>
          <w:sz w:val="22"/>
          <w:szCs w:val="22"/>
        </w:rPr>
        <w:t>marzes</w:t>
      </w:r>
      <w:proofErr w:type="spellEnd"/>
      <w:r w:rsidR="00AD6726">
        <w:rPr>
          <w:rFonts w:ascii="Calibri" w:eastAsia="Calibri" w:hAnsi="Calibri" w:cs="Calibri"/>
          <w:b/>
          <w:sz w:val="22"/>
          <w:szCs w:val="22"/>
        </w:rPr>
        <w:t xml:space="preserve"> of Armenia </w:t>
      </w:r>
    </w:p>
    <w:p w:rsidR="00AD6726"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Duty Station:</w:t>
      </w:r>
      <w:r>
        <w:rPr>
          <w:rFonts w:ascii="Calibri" w:eastAsia="Calibri" w:hAnsi="Calibri" w:cs="Calibri"/>
          <w:sz w:val="22"/>
          <w:szCs w:val="22"/>
        </w:rPr>
        <w:tab/>
      </w:r>
      <w:r w:rsidR="00AD6726">
        <w:rPr>
          <w:rFonts w:ascii="Calibri" w:eastAsia="Calibri" w:hAnsi="Calibri" w:cs="Calibri"/>
          <w:sz w:val="22"/>
          <w:szCs w:val="22"/>
        </w:rPr>
        <w:t xml:space="preserve">Yerevan, Shirak, Tavush and Lori </w:t>
      </w:r>
      <w:proofErr w:type="spellStart"/>
      <w:r w:rsidR="00AD6726">
        <w:rPr>
          <w:rFonts w:ascii="Calibri" w:eastAsia="Calibri" w:hAnsi="Calibri" w:cs="Calibri"/>
          <w:sz w:val="22"/>
          <w:szCs w:val="22"/>
        </w:rPr>
        <w:t>marzes</w:t>
      </w:r>
      <w:proofErr w:type="spellEnd"/>
    </w:p>
    <w:p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Start Date:</w:t>
      </w:r>
      <w:r>
        <w:rPr>
          <w:rFonts w:ascii="Calibri" w:eastAsia="Calibri" w:hAnsi="Calibri" w:cs="Calibri"/>
          <w:b/>
          <w:sz w:val="22"/>
          <w:szCs w:val="22"/>
        </w:rPr>
        <w:tab/>
      </w:r>
      <w:r w:rsidR="00187CF2">
        <w:rPr>
          <w:rFonts w:ascii="Calibri" w:eastAsia="Calibri" w:hAnsi="Calibri" w:cs="Calibri"/>
          <w:sz w:val="22"/>
          <w:szCs w:val="22"/>
        </w:rPr>
        <w:t>27 August</w:t>
      </w:r>
      <w:r>
        <w:rPr>
          <w:rFonts w:ascii="Calibri" w:eastAsia="Calibri" w:hAnsi="Calibri" w:cs="Calibri"/>
          <w:sz w:val="22"/>
          <w:szCs w:val="22"/>
        </w:rPr>
        <w:t xml:space="preserve"> 2021</w:t>
      </w:r>
    </w:p>
    <w:p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Duration:</w:t>
      </w:r>
      <w:r>
        <w:rPr>
          <w:rFonts w:ascii="Calibri" w:eastAsia="Calibri" w:hAnsi="Calibri" w:cs="Calibri"/>
          <w:b/>
          <w:sz w:val="22"/>
          <w:szCs w:val="22"/>
        </w:rPr>
        <w:tab/>
      </w:r>
      <w:r w:rsidR="006A5369">
        <w:rPr>
          <w:rFonts w:ascii="Calibri" w:eastAsia="Calibri" w:hAnsi="Calibri" w:cs="Calibri"/>
          <w:sz w:val="22"/>
          <w:szCs w:val="22"/>
        </w:rPr>
        <w:t>01</w:t>
      </w:r>
      <w:r w:rsidR="00352F4A">
        <w:rPr>
          <w:rFonts w:ascii="Calibri" w:eastAsia="Calibri" w:hAnsi="Calibri" w:cs="Calibri"/>
          <w:sz w:val="22"/>
          <w:szCs w:val="22"/>
        </w:rPr>
        <w:t xml:space="preserve"> Dec</w:t>
      </w:r>
      <w:r w:rsidR="0065708C">
        <w:rPr>
          <w:rFonts w:ascii="Calibri" w:eastAsia="Calibri" w:hAnsi="Calibri" w:cs="Calibri"/>
          <w:sz w:val="22"/>
          <w:szCs w:val="22"/>
        </w:rPr>
        <w:t>ember 2021</w:t>
      </w:r>
    </w:p>
    <w:p w:rsidR="00051E31" w:rsidRDefault="00E26E7C">
      <w:pPr>
        <w:rPr>
          <w:rFonts w:ascii="Calibri" w:eastAsia="Calibri" w:hAnsi="Calibri" w:cs="Calibri"/>
          <w:sz w:val="22"/>
          <w:szCs w:val="22"/>
        </w:rPr>
      </w:pPr>
      <w:r>
        <w:rPr>
          <w:rFonts w:ascii="Calibri" w:eastAsia="Calibri" w:hAnsi="Calibri" w:cs="Calibri"/>
          <w:b/>
          <w:sz w:val="22"/>
          <w:szCs w:val="22"/>
        </w:rPr>
        <w:t>Funding Source</w:t>
      </w:r>
      <w:r>
        <w:rPr>
          <w:rFonts w:ascii="Calibri" w:eastAsia="Calibri" w:hAnsi="Calibri" w:cs="Calibri"/>
          <w:sz w:val="22"/>
          <w:szCs w:val="22"/>
        </w:rPr>
        <w:t>:</w:t>
      </w:r>
      <w:r>
        <w:rPr>
          <w:rFonts w:ascii="Calibri" w:eastAsia="Calibri" w:hAnsi="Calibri" w:cs="Calibri"/>
          <w:sz w:val="22"/>
          <w:szCs w:val="22"/>
        </w:rPr>
        <w:tab/>
        <w:t xml:space="preserve">     </w:t>
      </w:r>
      <w:r w:rsidR="00352F4A">
        <w:rPr>
          <w:rFonts w:ascii="Calibri" w:eastAsia="Calibri" w:hAnsi="Calibri" w:cs="Calibri"/>
          <w:sz w:val="22"/>
          <w:szCs w:val="22"/>
        </w:rPr>
        <w:t>ARM04MEN</w:t>
      </w:r>
      <w:r>
        <w:rPr>
          <w:rFonts w:ascii="Calibri" w:eastAsia="Calibri" w:hAnsi="Calibri" w:cs="Calibri"/>
          <w:sz w:val="22"/>
          <w:szCs w:val="22"/>
        </w:rPr>
        <w:t xml:space="preserve"> </w:t>
      </w:r>
    </w:p>
    <w:p w:rsidR="00051E31" w:rsidRDefault="00051E31">
      <w:pPr>
        <w:rPr>
          <w:rFonts w:ascii="Calibri" w:eastAsia="Calibri" w:hAnsi="Calibri" w:cs="Calibri"/>
          <w:sz w:val="22"/>
          <w:szCs w:val="22"/>
        </w:rPr>
      </w:pP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Background</w:t>
      </w:r>
    </w:p>
    <w:p w:rsidR="00051E31" w:rsidRDefault="00051E31">
      <w:pPr>
        <w:pBdr>
          <w:top w:val="nil"/>
          <w:left w:val="nil"/>
          <w:bottom w:val="nil"/>
          <w:right w:val="nil"/>
          <w:between w:val="nil"/>
        </w:pBdr>
        <w:rPr>
          <w:rFonts w:ascii="Calibri" w:eastAsia="Calibri" w:hAnsi="Calibri" w:cs="Calibri"/>
          <w:b/>
          <w:color w:val="333333"/>
          <w:sz w:val="20"/>
          <w:szCs w:val="20"/>
          <w:highlight w:val="white"/>
        </w:rPr>
      </w:pP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The health sector is an important entry point to promote the early involvement of fathers</w:t>
      </w:r>
      <w:r>
        <w:rPr>
          <w:sz w:val="24"/>
          <w:szCs w:val="24"/>
        </w:rPr>
        <w:t xml:space="preserve"> </w:t>
      </w:r>
      <w:r w:rsidRPr="00C63A99">
        <w:rPr>
          <w:rFonts w:ascii="Calibri" w:eastAsia="Calibri" w:hAnsi="Calibri" w:cs="Calibri"/>
          <w:color w:val="auto"/>
          <w:bdr w:val="none" w:sz="0" w:space="0" w:color="auto"/>
          <w:lang w:val="en-GB"/>
          <w14:textOutline w14:w="0" w14:cap="rnd" w14:cmpd="sng" w14:algn="ctr">
            <w14:noFill/>
            <w14:prstDash w14:val="solid"/>
            <w14:bevel/>
          </w14:textOutline>
        </w:rPr>
        <w:t>in caregiving. However, maternal and child health providers often primarily communicate with mothers and children, and do not often engage men as supportive partners to women or as caregivers themselves. However, research</w:t>
      </w:r>
      <w:r w:rsidRPr="00C63A99">
        <w:rPr>
          <w:rFonts w:ascii="Calibri" w:eastAsia="Calibri" w:hAnsi="Calibri" w:cs="Calibri"/>
          <w:color w:val="auto"/>
          <w:bdr w:val="none" w:sz="0" w:space="0" w:color="auto"/>
          <w:vertAlign w:val="superscript"/>
          <w:lang w:val="en-GB"/>
          <w14:textOutline w14:w="0" w14:cap="rnd" w14:cmpd="sng" w14:algn="ctr">
            <w14:noFill/>
            <w14:prstDash w14:val="solid"/>
            <w14:bevel/>
          </w14:textOutline>
        </w:rPr>
        <w:footnoteReference w:id="1"/>
      </w:r>
      <w:r w:rsidRPr="00C63A99">
        <w:rPr>
          <w:rFonts w:ascii="Calibri" w:eastAsia="Calibri" w:hAnsi="Calibri" w:cs="Calibri"/>
          <w:color w:val="auto"/>
          <w:bdr w:val="none" w:sz="0" w:space="0" w:color="auto"/>
          <w:lang w:val="en-GB"/>
          <w14:textOutline w14:w="0" w14:cap="rnd" w14:cmpd="sng" w14:algn="ctr">
            <w14:noFill/>
            <w14:prstDash w14:val="solid"/>
            <w14:bevel/>
          </w14:textOutline>
        </w:rPr>
        <w:t xml:space="preserve"> shows that the relationship between fathers and the health sector is evolving, with increasing recognition of men as significant sources of emotional support and care, and recognition of the importance of early bonding between fathers and their babies, even before birth. The World Health Organization (WHO) recommends the involvement of men during pregnancy and childbirth to support women’s self-care, improve home care practices for women, improve the use of skilled care during pregnancy and childbirth, and increase the timely use of facility care for obstetric and </w:t>
      </w:r>
      <w:proofErr w:type="spellStart"/>
      <w:r w:rsidRPr="00C63A99">
        <w:rPr>
          <w:rFonts w:ascii="Calibri" w:eastAsia="Calibri" w:hAnsi="Calibri" w:cs="Calibri"/>
          <w:color w:val="auto"/>
          <w:bdr w:val="none" w:sz="0" w:space="0" w:color="auto"/>
          <w:lang w:val="en-GB"/>
          <w14:textOutline w14:w="0" w14:cap="rnd" w14:cmpd="sng" w14:algn="ctr">
            <w14:noFill/>
            <w14:prstDash w14:val="solid"/>
            <w14:bevel/>
          </w14:textOutline>
        </w:rPr>
        <w:t>newborn</w:t>
      </w:r>
      <w:proofErr w:type="spellEnd"/>
      <w:r w:rsidRPr="00C63A99">
        <w:rPr>
          <w:rFonts w:ascii="Calibri" w:eastAsia="Calibri" w:hAnsi="Calibri" w:cs="Calibri"/>
          <w:color w:val="auto"/>
          <w:bdr w:val="none" w:sz="0" w:space="0" w:color="auto"/>
          <w:lang w:val="en-GB"/>
          <w14:textOutline w14:w="0" w14:cap="rnd" w14:cmpd="sng" w14:algn="ctr">
            <w14:noFill/>
            <w14:prstDash w14:val="solid"/>
            <w14:bevel/>
          </w14:textOutline>
        </w:rPr>
        <w:t xml:space="preserve"> complications</w:t>
      </w:r>
      <w:r w:rsidRPr="00C63A99">
        <w:rPr>
          <w:rFonts w:ascii="Calibri" w:eastAsia="Calibri" w:hAnsi="Calibri" w:cs="Calibri"/>
          <w:color w:val="auto"/>
          <w:bdr w:val="none" w:sz="0" w:space="0" w:color="auto"/>
          <w:vertAlign w:val="superscript"/>
          <w:lang w:val="en-GB"/>
          <w14:textOutline w14:w="0" w14:cap="rnd" w14:cmpd="sng" w14:algn="ctr">
            <w14:noFill/>
            <w14:prstDash w14:val="solid"/>
            <w14:bevel/>
          </w14:textOutline>
        </w:rPr>
        <w:footnoteReference w:id="2"/>
      </w:r>
      <w:r>
        <w:rPr>
          <w:rFonts w:ascii="Calibri" w:eastAsia="Calibri" w:hAnsi="Calibri" w:cs="Calibri"/>
          <w:color w:val="auto"/>
          <w:bdr w:val="none" w:sz="0" w:space="0" w:color="auto"/>
          <w:lang w:val="en-GB"/>
          <w14:textOutline w14:w="0" w14:cap="rnd" w14:cmpd="sng" w14:algn="ctr">
            <w14:noFill/>
            <w14:prstDash w14:val="solid"/>
            <w14:bevel/>
          </w14:textOutline>
        </w:rPr>
        <w:t>.</w:t>
      </w: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 xml:space="preserve">The health sector can play a key role in the accelerated expansion of father engagement in caregiving and shared responsibility with their partner. Broadly, this requires the following: </w:t>
      </w: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Clearer guidelines and protocols on how to work with fathers and male caregivers.</w:t>
      </w: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More educational campaigns and materials in the waiting room that encourage men’s participation in fatherhood and sexual and the couple’s reproductive health.</w:t>
      </w:r>
    </w:p>
    <w:p w:rsidR="00C63A99" w:rsidRP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When men are in the consultation room, encouragement to continue their involvement. If they are not present, encouraging mothers to bring the father, provided the mothers feel safe, agree to it, and the relationship is non-violent, and as long as it is possible for the father to be involved.</w:t>
      </w:r>
    </w:p>
    <w:p w:rsidR="00C63A99" w:rsidRDefault="00C63A99"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C63A99">
        <w:rPr>
          <w:rFonts w:ascii="Calibri" w:eastAsia="Calibri" w:hAnsi="Calibri" w:cs="Calibri"/>
          <w:color w:val="auto"/>
          <w:bdr w:val="none" w:sz="0" w:space="0" w:color="auto"/>
          <w:lang w:val="en-GB"/>
          <w14:textOutline w14:w="0" w14:cap="rnd" w14:cmpd="sng" w14:algn="ctr">
            <w14:noFill/>
            <w14:prstDash w14:val="solid"/>
            <w14:bevel/>
          </w14:textOutline>
        </w:rPr>
        <w:t>The provision of context-specific support and guidance: when the mother is single and does not communicate with the father; when the parents are separated; when one or both parents live with disabilities; and in cases of couple conflict, violence against women, substance abuse, or mental health issues.</w:t>
      </w:r>
    </w:p>
    <w:p w:rsidR="00E6541C" w:rsidRDefault="00E6541C"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p>
    <w:p w:rsidR="00E6541C" w:rsidRPr="00E6541C" w:rsidRDefault="00E6541C" w:rsidP="00E6541C">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Starting from March 2020, UN Women and UNFPA are jointly implementing a three –year programme named “EU4GE: Together against gender stereotypes and </w:t>
      </w:r>
      <w:r>
        <w:rPr>
          <w:rFonts w:ascii="Calibri" w:eastAsia="Calibri" w:hAnsi="Calibri" w:cs="Calibri"/>
          <w:color w:val="auto"/>
          <w:bdr w:val="none" w:sz="0" w:space="0" w:color="auto"/>
          <w:lang w:val="en-GB"/>
          <w14:textOutline w14:w="0" w14:cap="rnd" w14:cmpd="sng" w14:algn="ctr">
            <w14:noFill/>
            <w14:prstDash w14:val="solid"/>
            <w14:bevel/>
          </w14:textOutline>
        </w:rPr>
        <w:t>gender-based violence “</w:t>
      </w:r>
      <w:r w:rsid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 funded by </w:t>
      </w:r>
      <w:r w:rsidR="00772D78">
        <w:rPr>
          <w:rFonts w:ascii="Calibri" w:eastAsia="Calibri" w:hAnsi="Calibri" w:cs="Calibri"/>
          <w:color w:val="auto"/>
          <w:bdr w:val="none" w:sz="0" w:space="0" w:color="auto"/>
          <w:lang w:val="en-GB"/>
          <w14:textOutline w14:w="0" w14:cap="rnd" w14:cmpd="sng" w14:algn="ctr">
            <w14:noFill/>
            <w14:prstDash w14:val="solid"/>
            <w14:bevel/>
          </w14:textOutline>
        </w:rPr>
        <w:t>the European</w:t>
      </w:r>
      <w:r w:rsidR="007958AD" w:rsidRP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 </w:t>
      </w:r>
      <w:r w:rsidR="00772D78" w:rsidRPr="007958AD">
        <w:rPr>
          <w:rFonts w:ascii="Calibri" w:eastAsia="Calibri" w:hAnsi="Calibri" w:cs="Calibri"/>
          <w:color w:val="auto"/>
          <w:bdr w:val="none" w:sz="0" w:space="0" w:color="auto"/>
          <w:lang w:val="en-GB"/>
          <w14:textOutline w14:w="0" w14:cap="rnd" w14:cmpd="sng" w14:algn="ctr">
            <w14:noFill/>
            <w14:prstDash w14:val="solid"/>
            <w14:bevel/>
          </w14:textOutline>
        </w:rPr>
        <w:t>Union</w:t>
      </w:r>
      <w:r w:rsidR="00772D78">
        <w:rPr>
          <w:rFonts w:ascii="Calibri" w:eastAsia="Calibri" w:hAnsi="Calibri" w:cs="Calibri"/>
          <w:color w:val="auto"/>
          <w:bdr w:val="none" w:sz="0" w:space="0" w:color="auto"/>
          <w:lang w:val="en-GB"/>
          <w14:textOutline w14:w="0" w14:cap="rnd" w14:cmpd="sng" w14:algn="ctr">
            <w14:noFill/>
            <w14:prstDash w14:val="solid"/>
            <w14:bevel/>
          </w14:textOutline>
        </w:rPr>
        <w:t xml:space="preserve"> and</w:t>
      </w:r>
      <w:r w:rsid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 </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aimed </w:t>
      </w:r>
      <w:r w:rsidR="00772D78">
        <w:rPr>
          <w:rFonts w:ascii="Calibri" w:eastAsia="Calibri" w:hAnsi="Calibri" w:cs="Calibri"/>
          <w:color w:val="auto"/>
          <w:bdr w:val="none" w:sz="0" w:space="0" w:color="auto"/>
          <w:lang w:val="en-GB"/>
          <w14:textOutline w14:w="0" w14:cap="rnd" w14:cmpd="sng" w14:algn="ctr">
            <w14:noFill/>
            <w14:prstDash w14:val="solid"/>
            <w14:bevel/>
          </w14:textOutline>
        </w:rPr>
        <w:t xml:space="preserve">at </w:t>
      </w:r>
      <w:r w:rsidR="00772D78" w:rsidRPr="00E6541C">
        <w:rPr>
          <w:rFonts w:ascii="Calibri" w:eastAsia="Calibri" w:hAnsi="Calibri" w:cs="Calibri"/>
          <w:color w:val="auto"/>
          <w:bdr w:val="none" w:sz="0" w:space="0" w:color="auto"/>
          <w:lang w:val="en-GB"/>
          <w14:textOutline w14:w="0" w14:cap="rnd" w14:cmpd="sng" w14:algn="ctr">
            <w14:noFill/>
            <w14:prstDash w14:val="solid"/>
            <w14:bevel/>
          </w14:textOutline>
        </w:rPr>
        <w:t>strengthening</w:t>
      </w:r>
      <w:r>
        <w:rPr>
          <w:rFonts w:ascii="Calibri" w:eastAsia="Calibri" w:hAnsi="Calibri" w:cs="Calibri"/>
          <w:color w:val="auto"/>
          <w:bdr w:val="none" w:sz="0" w:space="0" w:color="auto"/>
          <w:lang w:val="en-GB"/>
          <w14:textOutline w14:w="0" w14:cap="rnd" w14:cmpd="sng" w14:algn="ctr">
            <w14:noFill/>
            <w14:prstDash w14:val="solid"/>
            <w14:bevel/>
          </w14:textOutline>
        </w:rPr>
        <w:t xml:space="preserve"> </w:t>
      </w:r>
      <w:r w:rsidR="00772D78">
        <w:rPr>
          <w:rFonts w:ascii="Calibri" w:eastAsia="Calibri" w:hAnsi="Calibri" w:cs="Calibri"/>
          <w:color w:val="auto"/>
          <w:bdr w:val="none" w:sz="0" w:space="0" w:color="auto"/>
          <w:lang w:val="en-GB"/>
          <w14:textOutline w14:w="0" w14:cap="rnd" w14:cmpd="sng" w14:algn="ctr">
            <w14:noFill/>
            <w14:prstDash w14:val="solid"/>
            <w14:bevel/>
          </w14:textOutline>
        </w:rPr>
        <w:t xml:space="preserve">of </w:t>
      </w:r>
      <w:r w:rsidR="00772D78" w:rsidRPr="00E6541C">
        <w:rPr>
          <w:rFonts w:ascii="Calibri" w:eastAsia="Calibri" w:hAnsi="Calibri" w:cs="Calibri"/>
          <w:color w:val="auto"/>
          <w:bdr w:val="none" w:sz="0" w:space="0" w:color="auto"/>
          <w:lang w:val="en-GB"/>
          <w14:textOutline w14:w="0" w14:cap="rnd" w14:cmpd="sng" w14:algn="ctr">
            <w14:noFill/>
            <w14:prstDash w14:val="solid"/>
            <w14:bevel/>
          </w14:textOutline>
        </w:rPr>
        <w:t>equal</w:t>
      </w: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 rights and opportunities for women and men through shifting social perceptions, gender stereotypes, and men’s participation in caretaking. </w:t>
      </w:r>
    </w:p>
    <w:p w:rsidR="00E6541C" w:rsidRPr="00E6541C" w:rsidRDefault="00E6541C" w:rsidP="00E6541C">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Pr>
          <w:rFonts w:ascii="Calibri" w:eastAsia="Calibri" w:hAnsi="Calibri" w:cs="Calibri"/>
          <w:color w:val="auto"/>
          <w:bdr w:val="none" w:sz="0" w:space="0" w:color="auto"/>
          <w:lang w:val="en-GB"/>
          <w14:textOutline w14:w="0" w14:cap="rnd" w14:cmpd="sng" w14:algn="ctr">
            <w14:noFill/>
            <w14:prstDash w14:val="solid"/>
            <w14:bevel/>
          </w14:textOutline>
        </w:rPr>
        <w:lastRenderedPageBreak/>
        <w:t xml:space="preserve"> </w:t>
      </w:r>
      <w:r w:rsid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The Programme </w:t>
      </w:r>
      <w:r w:rsidRPr="00E6541C">
        <w:rPr>
          <w:rFonts w:ascii="Calibri" w:eastAsia="Calibri" w:hAnsi="Calibri" w:cs="Calibri"/>
          <w:color w:val="auto"/>
          <w:bdr w:val="none" w:sz="0" w:space="0" w:color="auto"/>
          <w:lang w:val="en-GB"/>
          <w14:textOutline w14:w="0" w14:cap="rnd" w14:cmpd="sng" w14:algn="ctr">
            <w14:noFill/>
            <w14:prstDash w14:val="solid"/>
            <w14:bevel/>
          </w14:textOutline>
        </w:rPr>
        <w:t xml:space="preserve">is being implemented in 6 countries, such as Armenia, Georgia, Azerbaijan, Moldova, Ukraine and Belarus. </w:t>
      </w:r>
      <w:r w:rsidR="007958AD">
        <w:rPr>
          <w:rFonts w:ascii="Calibri" w:eastAsia="Calibri" w:hAnsi="Calibri" w:cs="Calibri"/>
          <w:color w:val="auto"/>
          <w:bdr w:val="none" w:sz="0" w:space="0" w:color="auto"/>
          <w:lang w:val="en-GB"/>
          <w14:textOutline w14:w="0" w14:cap="rnd" w14:cmpd="sng" w14:algn="ctr">
            <w14:noFill/>
            <w14:prstDash w14:val="solid"/>
            <w14:bevel/>
          </w14:textOutline>
        </w:rPr>
        <w:t>In Armenia</w:t>
      </w:r>
      <w:r w:rsidR="000B7EB7">
        <w:rPr>
          <w:rFonts w:ascii="Calibri" w:eastAsia="Calibri" w:hAnsi="Calibri" w:cs="Calibri"/>
          <w:color w:val="auto"/>
          <w:bdr w:val="none" w:sz="0" w:space="0" w:color="auto"/>
          <w:lang w:val="en-GB"/>
          <w14:textOutline w14:w="0" w14:cap="rnd" w14:cmpd="sng" w14:algn="ctr">
            <w14:noFill/>
            <w14:prstDash w14:val="solid"/>
            <w14:bevel/>
          </w14:textOutline>
        </w:rPr>
        <w:t xml:space="preserve"> the Programme will be operational</w:t>
      </w:r>
      <w:r w:rsidR="007958AD">
        <w:rPr>
          <w:rFonts w:ascii="Calibri" w:eastAsia="Calibri" w:hAnsi="Calibri" w:cs="Calibri"/>
          <w:color w:val="auto"/>
          <w:bdr w:val="none" w:sz="0" w:space="0" w:color="auto"/>
          <w:lang w:val="en-GB"/>
          <w14:textOutline w14:w="0" w14:cap="rnd" w14:cmpd="sng" w14:algn="ctr">
            <w14:noFill/>
            <w14:prstDash w14:val="solid"/>
            <w14:bevel/>
          </w14:textOutline>
        </w:rPr>
        <w:t xml:space="preserve"> in three EU target regions, such as Shirak, Tavush and Lori.</w:t>
      </w:r>
    </w:p>
    <w:p w:rsidR="00C63A99" w:rsidRPr="00BC7D3F" w:rsidRDefault="0065708C" w:rsidP="00C63A99">
      <w:pPr>
        <w:pStyle w:val="Body"/>
        <w:rPr>
          <w:rFonts w:ascii="Calibri" w:eastAsia="Calibri" w:hAnsi="Calibri" w:cs="Calibri"/>
          <w:color w:val="auto"/>
          <w:bdr w:val="none" w:sz="0" w:space="0" w:color="auto"/>
          <w:lang w:val="en-GB"/>
          <w14:textOutline w14:w="0" w14:cap="rnd" w14:cmpd="sng" w14:algn="ctr">
            <w14:noFill/>
            <w14:prstDash w14:val="solid"/>
            <w14:bevel/>
          </w14:textOutline>
        </w:rPr>
      </w:pP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In the frame of the EU4GE programme a Regional Resource and Training package was developed, </w:t>
      </w:r>
      <w:r w:rsidR="00DA188D">
        <w:rPr>
          <w:rFonts w:ascii="Calibri" w:eastAsia="Calibri" w:hAnsi="Calibri" w:cs="Calibri"/>
          <w:color w:val="auto"/>
          <w:bdr w:val="none" w:sz="0" w:space="0" w:color="auto"/>
          <w:lang w:val="en-GB"/>
          <w14:textOutline w14:w="0" w14:cap="rnd" w14:cmpd="sng" w14:algn="ctr">
            <w14:noFill/>
            <w14:prstDash w14:val="solid"/>
            <w14:bevel/>
          </w14:textOutline>
        </w:rPr>
        <w:t xml:space="preserve">that was </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further on adapted </w:t>
      </w:r>
      <w:r w:rsidR="00DA188D"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to </w:t>
      </w:r>
      <w:r w:rsidR="00DA188D">
        <w:rPr>
          <w:rFonts w:ascii="Calibri" w:eastAsia="Calibri" w:hAnsi="Calibri" w:cs="Calibri"/>
          <w:color w:val="auto"/>
          <w:bdr w:val="none" w:sz="0" w:space="0" w:color="auto"/>
          <w:lang w:val="en-GB"/>
          <w14:textOutline w14:w="0" w14:cap="rnd" w14:cmpd="sng" w14:algn="ctr">
            <w14:noFill/>
            <w14:prstDash w14:val="solid"/>
            <w14:bevel/>
          </w14:textOutline>
        </w:rPr>
        <w:t xml:space="preserve">the </w:t>
      </w:r>
      <w:r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national context and translated into Armenian. </w:t>
      </w:r>
      <w:r w:rsidR="00BC7D3F"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The </w:t>
      </w:r>
      <w:r w:rsidR="007E09FD">
        <w:rPr>
          <w:rFonts w:ascii="Calibri" w:eastAsia="Calibri" w:hAnsi="Calibri" w:cs="Calibri"/>
          <w:color w:val="auto"/>
          <w:bdr w:val="none" w:sz="0" w:space="0" w:color="auto"/>
          <w:lang w:val="en-GB"/>
          <w14:textOutline w14:w="0" w14:cap="rnd" w14:cmpd="sng" w14:algn="ctr">
            <w14:noFill/>
            <w14:prstDash w14:val="solid"/>
            <w14:bevel/>
          </w14:textOutline>
        </w:rPr>
        <w:t>R</w:t>
      </w:r>
      <w:r w:rsidR="00DA188D" w:rsidRPr="00BC7D3F">
        <w:rPr>
          <w:rFonts w:ascii="Calibri" w:eastAsia="Calibri" w:hAnsi="Calibri" w:cs="Calibri"/>
          <w:color w:val="auto"/>
          <w:bdr w:val="none" w:sz="0" w:space="0" w:color="auto"/>
          <w:lang w:val="en-GB"/>
          <w14:textOutline w14:w="0" w14:cap="rnd" w14:cmpd="sng" w14:algn="ctr">
            <w14:noFill/>
            <w14:prstDash w14:val="solid"/>
            <w14:bevel/>
          </w14:textOutline>
        </w:rPr>
        <w:t>esource and</w:t>
      </w:r>
      <w:r w:rsidR="007E09FD">
        <w:rPr>
          <w:rFonts w:ascii="Calibri" w:eastAsia="Calibri" w:hAnsi="Calibri" w:cs="Calibri"/>
          <w:color w:val="auto"/>
          <w:bdr w:val="none" w:sz="0" w:space="0" w:color="auto"/>
          <w:lang w:val="en-GB"/>
          <w14:textOutline w14:w="0" w14:cap="rnd" w14:cmpd="sng" w14:algn="ctr">
            <w14:noFill/>
            <w14:prstDash w14:val="solid"/>
            <w14:bevel/>
          </w14:textOutline>
        </w:rPr>
        <w:t xml:space="preserve"> T</w:t>
      </w:r>
      <w:r w:rsidR="00BC7D3F" w:rsidRPr="00BC7D3F">
        <w:rPr>
          <w:rFonts w:ascii="Calibri" w:eastAsia="Calibri" w:hAnsi="Calibri" w:cs="Calibri"/>
          <w:color w:val="auto"/>
          <w:bdr w:val="none" w:sz="0" w:space="0" w:color="auto"/>
          <w:lang w:val="en-GB"/>
          <w14:textOutline w14:w="0" w14:cap="rnd" w14:cmpd="sng" w14:algn="ctr">
            <w14:noFill/>
            <w14:prstDash w14:val="solid"/>
            <w14:bevel/>
          </w14:textOutline>
        </w:rPr>
        <w:t xml:space="preserve">raining </w:t>
      </w:r>
      <w:r w:rsidR="00C63A99" w:rsidRPr="00BC7D3F">
        <w:rPr>
          <w:rFonts w:ascii="Calibri" w:eastAsia="Calibri" w:hAnsi="Calibri" w:cs="Calibri"/>
          <w:color w:val="auto"/>
          <w:bdr w:val="none" w:sz="0" w:space="0" w:color="auto"/>
          <w:lang w:val="en-GB"/>
          <w14:textOutline w14:w="0" w14:cap="rnd" w14:cmpd="sng" w14:algn="ctr">
            <w14:noFill/>
            <w14:prstDash w14:val="solid"/>
            <w14:bevel/>
          </w14:textOutline>
        </w:rPr>
        <w:t>package is intended to help healthcare provider better engage</w:t>
      </w:r>
      <w:r w:rsidR="00C63A99">
        <w:rPr>
          <w:sz w:val="24"/>
          <w:szCs w:val="24"/>
        </w:rPr>
        <w:t xml:space="preserve"> </w:t>
      </w:r>
      <w:r w:rsidR="00C63A99" w:rsidRPr="00BC7D3F">
        <w:rPr>
          <w:rFonts w:asciiTheme="minorHAnsi" w:hAnsiTheme="minorHAnsi" w:cstheme="minorHAnsi"/>
        </w:rPr>
        <w:t>men during pregnancy and</w:t>
      </w:r>
      <w:r w:rsidR="00C63A99">
        <w:rPr>
          <w:sz w:val="24"/>
          <w:szCs w:val="24"/>
        </w:rPr>
        <w:t xml:space="preserve"> </w:t>
      </w:r>
      <w:r w:rsidR="00C63A99" w:rsidRPr="00BC7D3F">
        <w:rPr>
          <w:rFonts w:ascii="Calibri" w:eastAsia="Calibri" w:hAnsi="Calibri" w:cs="Calibri"/>
          <w:color w:val="auto"/>
          <w:bdr w:val="none" w:sz="0" w:space="0" w:color="auto"/>
          <w:lang w:val="en-GB"/>
          <w14:textOutline w14:w="0" w14:cap="rnd" w14:cmpd="sng" w14:algn="ctr">
            <w14:noFill/>
            <w14:prstDash w14:val="solid"/>
            <w14:bevel/>
          </w14:textOutline>
        </w:rPr>
        <w:t>childbirth to improve the health and well-being of their partners and children, as well as for their own health, wellbeing, ability to bond, and feelings of connectedness.</w:t>
      </w:r>
    </w:p>
    <w:p w:rsidR="00051E31" w:rsidRDefault="00051E31">
      <w:pPr>
        <w:jc w:val="both"/>
        <w:rPr>
          <w:rFonts w:ascii="Calibri" w:eastAsia="Calibri" w:hAnsi="Calibri" w:cs="Calibri"/>
          <w:sz w:val="22"/>
          <w:szCs w:val="22"/>
        </w:rPr>
      </w:pPr>
    </w:p>
    <w:p w:rsidR="00051E31" w:rsidRDefault="00DA188D">
      <w:pPr>
        <w:jc w:val="both"/>
        <w:rPr>
          <w:rFonts w:ascii="Calibri" w:eastAsia="Calibri" w:hAnsi="Calibri" w:cs="Calibri"/>
          <w:sz w:val="22"/>
          <w:szCs w:val="22"/>
        </w:rPr>
      </w:pPr>
      <w:r>
        <w:rPr>
          <w:rFonts w:ascii="Calibri" w:eastAsia="Calibri" w:hAnsi="Calibri" w:cs="Calibri"/>
          <w:sz w:val="22"/>
          <w:szCs w:val="22"/>
        </w:rPr>
        <w:t>Hereby, the</w:t>
      </w:r>
      <w:r w:rsidR="00E26E7C">
        <w:rPr>
          <w:rFonts w:ascii="Calibri" w:eastAsia="Calibri" w:hAnsi="Calibri" w:cs="Calibri"/>
          <w:sz w:val="22"/>
          <w:szCs w:val="22"/>
        </w:rPr>
        <w:t xml:space="preserve"> UNFPA Armenia Country Office is</w:t>
      </w:r>
      <w:r w:rsidR="002766EA">
        <w:rPr>
          <w:rFonts w:ascii="Calibri" w:eastAsia="Calibri" w:hAnsi="Calibri" w:cs="Calibri"/>
          <w:sz w:val="22"/>
          <w:szCs w:val="22"/>
        </w:rPr>
        <w:t xml:space="preserve"> seeking to contract</w:t>
      </w:r>
      <w:r w:rsidR="00E26E7C">
        <w:rPr>
          <w:rFonts w:ascii="Calibri" w:eastAsia="Calibri" w:hAnsi="Calibri" w:cs="Calibri"/>
          <w:sz w:val="22"/>
          <w:szCs w:val="22"/>
        </w:rPr>
        <w:t xml:space="preserve"> a</w:t>
      </w:r>
      <w:r w:rsidR="0065708C">
        <w:rPr>
          <w:rFonts w:ascii="Calibri" w:eastAsia="Calibri" w:hAnsi="Calibri" w:cs="Calibri"/>
          <w:sz w:val="22"/>
          <w:szCs w:val="22"/>
        </w:rPr>
        <w:t xml:space="preserve">n </w:t>
      </w:r>
      <w:r w:rsidR="007E77E7">
        <w:rPr>
          <w:rFonts w:ascii="Calibri" w:eastAsia="Calibri" w:hAnsi="Calibri" w:cs="Calibri"/>
          <w:sz w:val="22"/>
          <w:szCs w:val="22"/>
        </w:rPr>
        <w:t>organization for</w:t>
      </w:r>
      <w:r w:rsidR="00FC075F">
        <w:rPr>
          <w:rFonts w:ascii="Calibri" w:eastAsia="Calibri" w:hAnsi="Calibri" w:cs="Calibri"/>
          <w:sz w:val="22"/>
          <w:szCs w:val="22"/>
        </w:rPr>
        <w:t xml:space="preserve"> conducting</w:t>
      </w:r>
      <w:r w:rsidR="002766EA">
        <w:rPr>
          <w:rFonts w:ascii="Calibri" w:eastAsia="Calibri" w:hAnsi="Calibri" w:cs="Calibri"/>
          <w:sz w:val="22"/>
          <w:szCs w:val="22"/>
        </w:rPr>
        <w:t xml:space="preserve"> </w:t>
      </w:r>
      <w:r w:rsidR="0065708C">
        <w:rPr>
          <w:rFonts w:ascii="Calibri" w:eastAsia="Calibri" w:hAnsi="Calibri" w:cs="Calibri"/>
          <w:sz w:val="22"/>
          <w:szCs w:val="22"/>
        </w:rPr>
        <w:t>a two</w:t>
      </w:r>
      <w:r>
        <w:rPr>
          <w:rFonts w:ascii="Calibri" w:eastAsia="Calibri" w:hAnsi="Calibri" w:cs="Calibri"/>
          <w:sz w:val="22"/>
          <w:szCs w:val="22"/>
        </w:rPr>
        <w:t>-a</w:t>
      </w:r>
      <w:r w:rsidR="0065708C">
        <w:rPr>
          <w:rFonts w:ascii="Calibri" w:eastAsia="Calibri" w:hAnsi="Calibri" w:cs="Calibri"/>
          <w:sz w:val="22"/>
          <w:szCs w:val="22"/>
        </w:rPr>
        <w:t>nd</w:t>
      </w:r>
      <w:r>
        <w:rPr>
          <w:rFonts w:ascii="Calibri" w:eastAsia="Calibri" w:hAnsi="Calibri" w:cs="Calibri"/>
          <w:sz w:val="22"/>
          <w:szCs w:val="22"/>
        </w:rPr>
        <w:t>-</w:t>
      </w:r>
      <w:r w:rsidR="0065708C">
        <w:rPr>
          <w:rFonts w:ascii="Calibri" w:eastAsia="Calibri" w:hAnsi="Calibri" w:cs="Calibri"/>
          <w:sz w:val="22"/>
          <w:szCs w:val="22"/>
        </w:rPr>
        <w:t>half day TOT based on the adapted and translated Resource and Training package for health care providers, as well as roll</w:t>
      </w:r>
      <w:r w:rsidR="002766EA">
        <w:rPr>
          <w:rFonts w:ascii="Calibri" w:eastAsia="Calibri" w:hAnsi="Calibri" w:cs="Calibri"/>
          <w:sz w:val="22"/>
          <w:szCs w:val="22"/>
        </w:rPr>
        <w:t xml:space="preserve">ing </w:t>
      </w:r>
      <w:r w:rsidR="0065708C">
        <w:rPr>
          <w:rFonts w:ascii="Calibri" w:eastAsia="Calibri" w:hAnsi="Calibri" w:cs="Calibri"/>
          <w:sz w:val="22"/>
          <w:szCs w:val="22"/>
        </w:rPr>
        <w:t xml:space="preserve">-out training for regional health care providers in </w:t>
      </w:r>
      <w:r w:rsidR="002766EA">
        <w:rPr>
          <w:rFonts w:ascii="Calibri" w:eastAsia="Calibri" w:hAnsi="Calibri" w:cs="Calibri"/>
          <w:sz w:val="22"/>
          <w:szCs w:val="22"/>
        </w:rPr>
        <w:t xml:space="preserve">the </w:t>
      </w:r>
      <w:r w:rsidR="007B2CE8">
        <w:rPr>
          <w:rFonts w:ascii="Calibri" w:eastAsia="Calibri" w:hAnsi="Calibri" w:cs="Calibri"/>
          <w:sz w:val="22"/>
          <w:szCs w:val="22"/>
        </w:rPr>
        <w:t>three EU target regions (</w:t>
      </w:r>
      <w:r w:rsidR="0065708C">
        <w:rPr>
          <w:rFonts w:ascii="Calibri" w:eastAsia="Calibri" w:hAnsi="Calibri" w:cs="Calibri"/>
          <w:sz w:val="22"/>
          <w:szCs w:val="22"/>
        </w:rPr>
        <w:t xml:space="preserve">Shirak, Lori and Tavush) </w:t>
      </w:r>
      <w:r w:rsidR="00E26E7C">
        <w:rPr>
          <w:rFonts w:ascii="Calibri" w:eastAsia="Calibri" w:hAnsi="Calibri" w:cs="Calibri"/>
          <w:sz w:val="22"/>
          <w:szCs w:val="22"/>
        </w:rPr>
        <w:t xml:space="preserve">of Armenia.  </w:t>
      </w: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Purpose</w:t>
      </w:r>
    </w:p>
    <w:p w:rsidR="00051E31" w:rsidRDefault="00663F15">
      <w:pPr>
        <w:jc w:val="both"/>
        <w:rPr>
          <w:rFonts w:ascii="Calibri" w:eastAsia="Calibri" w:hAnsi="Calibri" w:cs="Calibri"/>
          <w:sz w:val="22"/>
          <w:szCs w:val="22"/>
        </w:rPr>
      </w:pPr>
      <w:r>
        <w:rPr>
          <w:rFonts w:ascii="Calibri" w:eastAsia="Calibri" w:hAnsi="Calibri" w:cs="Calibri"/>
          <w:sz w:val="22"/>
          <w:szCs w:val="22"/>
        </w:rPr>
        <w:t xml:space="preserve">The purpose of the assignment is to organize a Training of Trainers </w:t>
      </w:r>
      <w:r w:rsidR="007B2CE8">
        <w:rPr>
          <w:rFonts w:ascii="Calibri" w:eastAsia="Calibri" w:hAnsi="Calibri" w:cs="Calibri"/>
          <w:sz w:val="22"/>
          <w:szCs w:val="22"/>
        </w:rPr>
        <w:t>(TOT</w:t>
      </w:r>
      <w:r>
        <w:rPr>
          <w:rFonts w:ascii="Calibri" w:eastAsia="Calibri" w:hAnsi="Calibri" w:cs="Calibri"/>
          <w:sz w:val="22"/>
          <w:szCs w:val="22"/>
        </w:rPr>
        <w:t xml:space="preserve">), as well as </w:t>
      </w:r>
      <w:r w:rsidR="00DA188D">
        <w:rPr>
          <w:rFonts w:ascii="Calibri" w:eastAsia="Calibri" w:hAnsi="Calibri" w:cs="Calibri"/>
          <w:sz w:val="22"/>
          <w:szCs w:val="22"/>
        </w:rPr>
        <w:t xml:space="preserve">to </w:t>
      </w:r>
      <w:r>
        <w:rPr>
          <w:rFonts w:ascii="Calibri" w:eastAsia="Calibri" w:hAnsi="Calibri" w:cs="Calibri"/>
          <w:sz w:val="22"/>
          <w:szCs w:val="22"/>
        </w:rPr>
        <w:t xml:space="preserve">roll-out of training for regional healthcare providers in </w:t>
      </w:r>
      <w:r w:rsidR="00221FAC">
        <w:rPr>
          <w:rFonts w:ascii="Calibri" w:eastAsia="Calibri" w:hAnsi="Calibri" w:cs="Calibri"/>
          <w:sz w:val="22"/>
          <w:szCs w:val="22"/>
        </w:rPr>
        <w:t xml:space="preserve">the </w:t>
      </w:r>
      <w:r>
        <w:rPr>
          <w:rFonts w:ascii="Calibri" w:eastAsia="Calibri" w:hAnsi="Calibri" w:cs="Calibri"/>
          <w:sz w:val="22"/>
          <w:szCs w:val="22"/>
        </w:rPr>
        <w:t>th</w:t>
      </w:r>
      <w:r w:rsidR="00DA188D">
        <w:rPr>
          <w:rFonts w:ascii="Calibri" w:eastAsia="Calibri" w:hAnsi="Calibri" w:cs="Calibri"/>
          <w:sz w:val="22"/>
          <w:szCs w:val="22"/>
        </w:rPr>
        <w:t>ree EU target regions of Armenia</w:t>
      </w:r>
      <w:r>
        <w:rPr>
          <w:rFonts w:ascii="Calibri" w:eastAsia="Calibri" w:hAnsi="Calibri" w:cs="Calibri"/>
          <w:sz w:val="22"/>
          <w:szCs w:val="22"/>
        </w:rPr>
        <w:t>.</w:t>
      </w:r>
      <w:r w:rsidR="00E26E7C">
        <w:rPr>
          <w:rFonts w:ascii="Calibri" w:eastAsia="Calibri" w:hAnsi="Calibri" w:cs="Calibri"/>
          <w:sz w:val="22"/>
          <w:szCs w:val="22"/>
        </w:rPr>
        <w:t xml:space="preserve"> </w:t>
      </w:r>
    </w:p>
    <w:p w:rsidR="00051E31" w:rsidRDefault="00051E31"/>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Scope of Work</w:t>
      </w:r>
    </w:p>
    <w:p w:rsidR="00051E31" w:rsidRDefault="00051E31">
      <w:pPr>
        <w:spacing w:after="120"/>
        <w:jc w:val="both"/>
        <w:rPr>
          <w:rFonts w:ascii="Calibri" w:eastAsia="Calibri" w:hAnsi="Calibri" w:cs="Calibri"/>
          <w:sz w:val="22"/>
          <w:szCs w:val="22"/>
        </w:rPr>
      </w:pPr>
    </w:p>
    <w:p w:rsidR="00051E31" w:rsidRPr="00AA3932" w:rsidRDefault="00E26E7C">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The Service Provider under the overall guid</w:t>
      </w:r>
      <w:r w:rsidR="006C53CB">
        <w:rPr>
          <w:rFonts w:ascii="Calibri" w:eastAsia="Calibri" w:hAnsi="Calibri" w:cs="Calibri"/>
          <w:sz w:val="22"/>
          <w:szCs w:val="22"/>
        </w:rPr>
        <w:t>ance of the UNFPA Gender Program Analyst</w:t>
      </w:r>
      <w:r>
        <w:rPr>
          <w:rFonts w:ascii="Calibri" w:eastAsia="Calibri" w:hAnsi="Calibri" w:cs="Calibri"/>
          <w:sz w:val="22"/>
          <w:szCs w:val="22"/>
        </w:rPr>
        <w:t xml:space="preserve"> and the</w:t>
      </w:r>
      <w:r w:rsidR="006C53CB">
        <w:rPr>
          <w:rFonts w:ascii="Calibri" w:eastAsia="Calibri" w:hAnsi="Calibri" w:cs="Calibri"/>
          <w:sz w:val="22"/>
          <w:szCs w:val="22"/>
        </w:rPr>
        <w:t xml:space="preserve"> direct supervision </w:t>
      </w:r>
      <w:r w:rsidR="00DA188D">
        <w:rPr>
          <w:rFonts w:ascii="Calibri" w:eastAsia="Calibri" w:hAnsi="Calibri" w:cs="Calibri"/>
          <w:sz w:val="22"/>
          <w:szCs w:val="22"/>
        </w:rPr>
        <w:t xml:space="preserve">of </w:t>
      </w:r>
      <w:r w:rsidR="008F4816">
        <w:rPr>
          <w:rFonts w:ascii="Calibri" w:eastAsia="Calibri" w:hAnsi="Calibri" w:cs="Calibri"/>
          <w:sz w:val="22"/>
          <w:szCs w:val="22"/>
        </w:rPr>
        <w:t xml:space="preserve">the </w:t>
      </w:r>
      <w:r w:rsidR="006C53CB">
        <w:rPr>
          <w:rFonts w:ascii="Calibri" w:eastAsia="Calibri" w:hAnsi="Calibri" w:cs="Calibri"/>
          <w:sz w:val="22"/>
          <w:szCs w:val="22"/>
        </w:rPr>
        <w:t xml:space="preserve">UNFPA EU4GE </w:t>
      </w:r>
      <w:r>
        <w:rPr>
          <w:rFonts w:ascii="Calibri" w:eastAsia="Calibri" w:hAnsi="Calibri" w:cs="Calibri"/>
          <w:sz w:val="22"/>
          <w:szCs w:val="22"/>
        </w:rPr>
        <w:t xml:space="preserve">Programme Coordinator and in close collaboration with </w:t>
      </w:r>
      <w:r w:rsidR="00190F53">
        <w:rPr>
          <w:rFonts w:ascii="Calibri" w:eastAsia="Calibri" w:hAnsi="Calibri" w:cs="Calibri"/>
          <w:sz w:val="22"/>
          <w:szCs w:val="22"/>
        </w:rPr>
        <w:t>UNFPA consultant</w:t>
      </w:r>
      <w:r>
        <w:rPr>
          <w:rFonts w:ascii="Calibri" w:eastAsia="Calibri" w:hAnsi="Calibri" w:cs="Calibri"/>
          <w:sz w:val="22"/>
          <w:szCs w:val="22"/>
        </w:rPr>
        <w:t xml:space="preserve"> will be responsible for ensuring timely and proper implementati</w:t>
      </w:r>
      <w:r w:rsidR="00AA3932">
        <w:rPr>
          <w:rFonts w:ascii="Calibri" w:eastAsia="Calibri" w:hAnsi="Calibri" w:cs="Calibri"/>
          <w:sz w:val="22"/>
          <w:szCs w:val="22"/>
        </w:rPr>
        <w:t>on of the following activities:</w:t>
      </w:r>
    </w:p>
    <w:p w:rsidR="00051E31" w:rsidRDefault="00051E31">
      <w:pPr>
        <w:widowControl w:val="0"/>
        <w:rPr>
          <w:rFonts w:ascii="Calibri" w:eastAsia="Calibri" w:hAnsi="Calibri" w:cs="Calibri"/>
          <w:b/>
          <w:sz w:val="22"/>
          <w:szCs w:val="22"/>
        </w:rPr>
      </w:pPr>
    </w:p>
    <w:p w:rsidR="00217857" w:rsidRDefault="00B21A75" w:rsidP="00F15E30">
      <w:pPr>
        <w:numPr>
          <w:ilvl w:val="0"/>
          <w:numId w:val="2"/>
        </w:numPr>
        <w:rPr>
          <w:rFonts w:ascii="Calibri" w:eastAsia="Calibri" w:hAnsi="Calibri" w:cs="Calibri"/>
          <w:sz w:val="22"/>
          <w:szCs w:val="22"/>
        </w:rPr>
      </w:pPr>
      <w:r w:rsidRPr="00217857">
        <w:rPr>
          <w:rFonts w:ascii="Calibri" w:eastAsia="Calibri" w:hAnsi="Calibri" w:cs="Calibri"/>
          <w:sz w:val="22"/>
          <w:szCs w:val="22"/>
        </w:rPr>
        <w:t xml:space="preserve">In close collaboration with UNFPA EU4GE Programme Coordinator and the Ministry of Health, identify 6 key </w:t>
      </w:r>
      <w:r w:rsidR="00ED00F0" w:rsidRPr="00217857">
        <w:rPr>
          <w:rFonts w:ascii="Calibri" w:eastAsia="Calibri" w:hAnsi="Calibri" w:cs="Calibri"/>
          <w:sz w:val="22"/>
          <w:szCs w:val="22"/>
        </w:rPr>
        <w:t>trainers</w:t>
      </w:r>
      <w:r w:rsidR="00ED00F0">
        <w:rPr>
          <w:rFonts w:ascii="Calibri" w:eastAsia="Calibri" w:hAnsi="Calibri" w:cs="Calibri"/>
          <w:sz w:val="22"/>
          <w:szCs w:val="22"/>
        </w:rPr>
        <w:t xml:space="preserve"> (obstetricians</w:t>
      </w:r>
      <w:r w:rsidR="008C0D76">
        <w:rPr>
          <w:rFonts w:ascii="Calibri" w:eastAsia="Calibri" w:hAnsi="Calibri" w:cs="Calibri"/>
          <w:sz w:val="22"/>
          <w:szCs w:val="22"/>
        </w:rPr>
        <w:t xml:space="preserve"> -</w:t>
      </w:r>
      <w:r w:rsidR="00ED00F0">
        <w:rPr>
          <w:rFonts w:ascii="Calibri" w:eastAsia="Calibri" w:hAnsi="Calibri" w:cs="Calibri"/>
          <w:sz w:val="22"/>
          <w:szCs w:val="22"/>
        </w:rPr>
        <w:t xml:space="preserve">gynaecologists) </w:t>
      </w:r>
      <w:r w:rsidR="00ED00F0" w:rsidRPr="00217857">
        <w:rPr>
          <w:rFonts w:ascii="Calibri" w:eastAsia="Calibri" w:hAnsi="Calibri" w:cs="Calibri"/>
          <w:sz w:val="22"/>
          <w:szCs w:val="22"/>
        </w:rPr>
        <w:t>from</w:t>
      </w:r>
      <w:r w:rsidR="00D7549B" w:rsidRPr="00217857">
        <w:rPr>
          <w:rFonts w:ascii="Calibri" w:eastAsia="Calibri" w:hAnsi="Calibri" w:cs="Calibri"/>
          <w:sz w:val="22"/>
          <w:szCs w:val="22"/>
        </w:rPr>
        <w:t xml:space="preserve"> </w:t>
      </w:r>
      <w:r w:rsidR="0042200B">
        <w:rPr>
          <w:rFonts w:ascii="Calibri" w:eastAsia="Calibri" w:hAnsi="Calibri" w:cs="Calibri"/>
          <w:sz w:val="22"/>
          <w:szCs w:val="22"/>
        </w:rPr>
        <w:t xml:space="preserve">the </w:t>
      </w:r>
      <w:r w:rsidR="00D7549B" w:rsidRPr="00217857">
        <w:rPr>
          <w:rFonts w:ascii="Calibri" w:eastAsia="Calibri" w:hAnsi="Calibri" w:cs="Calibri"/>
          <w:sz w:val="22"/>
          <w:szCs w:val="22"/>
        </w:rPr>
        <w:t xml:space="preserve">three regions </w:t>
      </w:r>
      <w:r w:rsidR="0057625B" w:rsidRPr="00217857">
        <w:rPr>
          <w:rFonts w:ascii="Calibri" w:eastAsia="Calibri" w:hAnsi="Calibri" w:cs="Calibri"/>
          <w:sz w:val="22"/>
          <w:szCs w:val="22"/>
        </w:rPr>
        <w:t>(Tavush</w:t>
      </w:r>
      <w:r w:rsidR="00D7549B" w:rsidRPr="00217857">
        <w:rPr>
          <w:rFonts w:ascii="Calibri" w:eastAsia="Calibri" w:hAnsi="Calibri" w:cs="Calibri"/>
          <w:sz w:val="22"/>
          <w:szCs w:val="22"/>
        </w:rPr>
        <w:t xml:space="preserve">, Shirak and </w:t>
      </w:r>
      <w:r w:rsidR="0057625B" w:rsidRPr="00217857">
        <w:rPr>
          <w:rFonts w:ascii="Calibri" w:eastAsia="Calibri" w:hAnsi="Calibri" w:cs="Calibri"/>
          <w:sz w:val="22"/>
          <w:szCs w:val="22"/>
        </w:rPr>
        <w:t>Lori) to</w:t>
      </w:r>
      <w:r w:rsidR="008C0D76">
        <w:rPr>
          <w:rFonts w:ascii="Calibri" w:eastAsia="Calibri" w:hAnsi="Calibri" w:cs="Calibri"/>
          <w:sz w:val="22"/>
          <w:szCs w:val="22"/>
        </w:rPr>
        <w:t xml:space="preserve"> be involved in TOT, </w:t>
      </w:r>
      <w:r w:rsidR="00ED00F0">
        <w:rPr>
          <w:rFonts w:ascii="Calibri" w:eastAsia="Calibri" w:hAnsi="Calibri" w:cs="Calibri"/>
          <w:sz w:val="22"/>
          <w:szCs w:val="22"/>
        </w:rPr>
        <w:t xml:space="preserve">and </w:t>
      </w:r>
      <w:r w:rsidR="00ED00F0" w:rsidRPr="00217857">
        <w:rPr>
          <w:rFonts w:ascii="Calibri" w:eastAsia="Calibri" w:hAnsi="Calibri" w:cs="Calibri"/>
          <w:sz w:val="22"/>
          <w:szCs w:val="22"/>
        </w:rPr>
        <w:t>to</w:t>
      </w:r>
      <w:r w:rsidR="008C0D76">
        <w:rPr>
          <w:rFonts w:ascii="Calibri" w:eastAsia="Calibri" w:hAnsi="Calibri" w:cs="Calibri"/>
          <w:sz w:val="22"/>
          <w:szCs w:val="22"/>
        </w:rPr>
        <w:t xml:space="preserve"> be </w:t>
      </w:r>
      <w:r w:rsidR="00D7549B" w:rsidRPr="00217857">
        <w:rPr>
          <w:rFonts w:ascii="Calibri" w:eastAsia="Calibri" w:hAnsi="Calibri" w:cs="Calibri"/>
          <w:sz w:val="22"/>
          <w:szCs w:val="22"/>
        </w:rPr>
        <w:t xml:space="preserve">responsible for facilitating further training for </w:t>
      </w:r>
      <w:r w:rsidR="0057625B" w:rsidRPr="00217857">
        <w:rPr>
          <w:rFonts w:ascii="Calibri" w:eastAsia="Calibri" w:hAnsi="Calibri" w:cs="Calibri"/>
          <w:sz w:val="22"/>
          <w:szCs w:val="22"/>
        </w:rPr>
        <w:t xml:space="preserve">regional healthcare providers </w:t>
      </w:r>
      <w:r w:rsidR="00217857" w:rsidRPr="00217857">
        <w:rPr>
          <w:rFonts w:ascii="Calibri" w:eastAsia="Calibri" w:hAnsi="Calibri" w:cs="Calibri"/>
          <w:sz w:val="22"/>
          <w:szCs w:val="22"/>
        </w:rPr>
        <w:t>(obstetrician</w:t>
      </w:r>
      <w:r w:rsidR="008C0D76">
        <w:rPr>
          <w:rFonts w:ascii="Calibri" w:eastAsia="Calibri" w:hAnsi="Calibri" w:cs="Calibri"/>
          <w:sz w:val="22"/>
          <w:szCs w:val="22"/>
        </w:rPr>
        <w:t>s</w:t>
      </w:r>
      <w:r w:rsidR="0057625B" w:rsidRPr="00217857">
        <w:rPr>
          <w:rFonts w:ascii="Calibri" w:eastAsia="Calibri" w:hAnsi="Calibri" w:cs="Calibri"/>
          <w:sz w:val="22"/>
          <w:szCs w:val="22"/>
        </w:rPr>
        <w:t>-gynaecologists and midwives)</w:t>
      </w:r>
      <w:r w:rsidR="006E6FB2">
        <w:rPr>
          <w:rFonts w:ascii="Calibri" w:eastAsia="Calibri" w:hAnsi="Calibri" w:cs="Calibri"/>
          <w:sz w:val="22"/>
          <w:szCs w:val="22"/>
        </w:rPr>
        <w:t xml:space="preserve">, </w:t>
      </w:r>
      <w:r w:rsidR="008C0D76">
        <w:rPr>
          <w:rFonts w:ascii="Calibri" w:eastAsia="Calibri" w:hAnsi="Calibri" w:cs="Calibri"/>
          <w:sz w:val="22"/>
          <w:szCs w:val="22"/>
        </w:rPr>
        <w:t>as well as</w:t>
      </w:r>
      <w:r w:rsidR="008F4816">
        <w:rPr>
          <w:rFonts w:ascii="Calibri" w:eastAsia="Calibri" w:hAnsi="Calibri" w:cs="Calibri"/>
          <w:sz w:val="22"/>
          <w:szCs w:val="22"/>
        </w:rPr>
        <w:t xml:space="preserve"> </w:t>
      </w:r>
      <w:r w:rsidR="00D25949">
        <w:rPr>
          <w:rFonts w:ascii="Calibri" w:eastAsia="Calibri" w:hAnsi="Calibri" w:cs="Calibri"/>
          <w:sz w:val="22"/>
          <w:szCs w:val="22"/>
        </w:rPr>
        <w:t>for facilitating</w:t>
      </w:r>
      <w:r w:rsidR="006E6FB2">
        <w:rPr>
          <w:rFonts w:ascii="Calibri" w:eastAsia="Calibri" w:hAnsi="Calibri" w:cs="Calibri"/>
          <w:sz w:val="22"/>
          <w:szCs w:val="22"/>
        </w:rPr>
        <w:t xml:space="preserve"> at least one Papa school session at the premises of their respective health facilities.</w:t>
      </w:r>
      <w:r w:rsidR="0057625B" w:rsidRPr="00217857">
        <w:rPr>
          <w:rFonts w:ascii="Calibri" w:eastAsia="Calibri" w:hAnsi="Calibri" w:cs="Calibri"/>
          <w:sz w:val="22"/>
          <w:szCs w:val="22"/>
        </w:rPr>
        <w:t xml:space="preserve"> </w:t>
      </w:r>
    </w:p>
    <w:p w:rsidR="00051E31" w:rsidRDefault="00804C32" w:rsidP="00F15E30">
      <w:pPr>
        <w:numPr>
          <w:ilvl w:val="0"/>
          <w:numId w:val="2"/>
        </w:numPr>
        <w:rPr>
          <w:rFonts w:ascii="Calibri" w:eastAsia="Calibri" w:hAnsi="Calibri" w:cs="Calibri"/>
          <w:sz w:val="22"/>
          <w:szCs w:val="22"/>
        </w:rPr>
      </w:pPr>
      <w:r>
        <w:rPr>
          <w:rFonts w:ascii="Calibri" w:eastAsia="Calibri" w:hAnsi="Calibri" w:cs="Calibri"/>
          <w:sz w:val="22"/>
          <w:szCs w:val="22"/>
        </w:rPr>
        <w:t>Organize a two-and –a-half</w:t>
      </w:r>
      <w:r w:rsidR="00217857">
        <w:rPr>
          <w:rFonts w:ascii="Calibri" w:eastAsia="Calibri" w:hAnsi="Calibri" w:cs="Calibri"/>
          <w:sz w:val="22"/>
          <w:szCs w:val="22"/>
        </w:rPr>
        <w:t>-day training</w:t>
      </w:r>
      <w:r w:rsidR="00D25949">
        <w:rPr>
          <w:rFonts w:ascii="Calibri" w:eastAsia="Calibri" w:hAnsi="Calibri" w:cs="Calibri"/>
          <w:sz w:val="22"/>
          <w:szCs w:val="22"/>
        </w:rPr>
        <w:t xml:space="preserve"> </w:t>
      </w:r>
      <w:r w:rsidR="00124C8F">
        <w:rPr>
          <w:rFonts w:ascii="Calibri" w:eastAsia="Calibri" w:hAnsi="Calibri" w:cs="Calibri"/>
          <w:sz w:val="22"/>
          <w:szCs w:val="22"/>
        </w:rPr>
        <w:t>(TOT) for</w:t>
      </w:r>
      <w:r w:rsidR="00532ABF">
        <w:rPr>
          <w:rFonts w:ascii="Calibri" w:eastAsia="Calibri" w:hAnsi="Calibri" w:cs="Calibri"/>
          <w:sz w:val="22"/>
          <w:szCs w:val="22"/>
        </w:rPr>
        <w:t xml:space="preserve"> </w:t>
      </w:r>
      <w:r w:rsidR="00A86273">
        <w:rPr>
          <w:rFonts w:ascii="Calibri" w:eastAsia="Calibri" w:hAnsi="Calibri" w:cs="Calibri"/>
          <w:sz w:val="22"/>
          <w:szCs w:val="22"/>
        </w:rPr>
        <w:t>the identified</w:t>
      </w:r>
      <w:r w:rsidR="00ED00F0">
        <w:rPr>
          <w:rFonts w:ascii="Calibri" w:eastAsia="Calibri" w:hAnsi="Calibri" w:cs="Calibri"/>
          <w:sz w:val="22"/>
          <w:szCs w:val="22"/>
        </w:rPr>
        <w:t xml:space="preserve"> six</w:t>
      </w:r>
      <w:r w:rsidR="00F73494">
        <w:rPr>
          <w:rFonts w:ascii="Calibri" w:eastAsia="Calibri" w:hAnsi="Calibri" w:cs="Calibri"/>
          <w:sz w:val="22"/>
          <w:szCs w:val="22"/>
        </w:rPr>
        <w:t xml:space="preserve"> </w:t>
      </w:r>
      <w:r w:rsidR="00ED00F0">
        <w:rPr>
          <w:rFonts w:ascii="Calibri" w:eastAsia="Calibri" w:hAnsi="Calibri" w:cs="Calibri"/>
          <w:sz w:val="22"/>
          <w:szCs w:val="22"/>
        </w:rPr>
        <w:t xml:space="preserve">trainers; </w:t>
      </w:r>
      <w:r w:rsidR="00F73494">
        <w:rPr>
          <w:rFonts w:ascii="Calibri" w:eastAsia="Calibri" w:hAnsi="Calibri" w:cs="Calibri"/>
          <w:sz w:val="22"/>
          <w:szCs w:val="22"/>
        </w:rPr>
        <w:t xml:space="preserve">to be </w:t>
      </w:r>
      <w:r w:rsidR="0029733F">
        <w:rPr>
          <w:rFonts w:ascii="Calibri" w:eastAsia="Calibri" w:hAnsi="Calibri" w:cs="Calibri"/>
          <w:sz w:val="22"/>
          <w:szCs w:val="22"/>
        </w:rPr>
        <w:t>responsible</w:t>
      </w:r>
      <w:r w:rsidR="00D6593C">
        <w:rPr>
          <w:rFonts w:ascii="Calibri" w:eastAsia="Calibri" w:hAnsi="Calibri" w:cs="Calibri"/>
          <w:sz w:val="22"/>
          <w:szCs w:val="22"/>
        </w:rPr>
        <w:t xml:space="preserve"> for training logistics, such as </w:t>
      </w:r>
      <w:r w:rsidR="00217857">
        <w:rPr>
          <w:rFonts w:ascii="Calibri" w:eastAsia="Calibri" w:hAnsi="Calibri" w:cs="Calibri"/>
          <w:sz w:val="22"/>
          <w:szCs w:val="22"/>
        </w:rPr>
        <w:t xml:space="preserve">renting of training </w:t>
      </w:r>
      <w:r w:rsidR="0029733F">
        <w:rPr>
          <w:rFonts w:ascii="Calibri" w:eastAsia="Calibri" w:hAnsi="Calibri" w:cs="Calibri"/>
          <w:sz w:val="22"/>
          <w:szCs w:val="22"/>
        </w:rPr>
        <w:t>venue, coffee</w:t>
      </w:r>
      <w:r w:rsidR="00D6593C">
        <w:rPr>
          <w:rFonts w:ascii="Calibri" w:eastAsia="Calibri" w:hAnsi="Calibri" w:cs="Calibri"/>
          <w:sz w:val="22"/>
          <w:szCs w:val="22"/>
        </w:rPr>
        <w:t xml:space="preserve">-breaks, lunches, </w:t>
      </w:r>
      <w:r w:rsidR="00217857">
        <w:rPr>
          <w:rFonts w:ascii="Calibri" w:eastAsia="Calibri" w:hAnsi="Calibri" w:cs="Calibri"/>
          <w:sz w:val="22"/>
          <w:szCs w:val="22"/>
        </w:rPr>
        <w:t>hotel accommodation, transportation if needed,</w:t>
      </w:r>
      <w:r w:rsidR="00E95CA1">
        <w:rPr>
          <w:rFonts w:ascii="Calibri" w:eastAsia="Calibri" w:hAnsi="Calibri" w:cs="Calibri"/>
          <w:sz w:val="22"/>
          <w:szCs w:val="22"/>
        </w:rPr>
        <w:t xml:space="preserve"> </w:t>
      </w:r>
      <w:r w:rsidR="00217857">
        <w:rPr>
          <w:rFonts w:ascii="Calibri" w:eastAsia="Calibri" w:hAnsi="Calibri" w:cs="Calibri"/>
          <w:sz w:val="22"/>
          <w:szCs w:val="22"/>
        </w:rPr>
        <w:t xml:space="preserve">etc. </w:t>
      </w:r>
      <w:r w:rsidR="00F73494">
        <w:rPr>
          <w:rFonts w:ascii="Calibri" w:eastAsia="Calibri" w:hAnsi="Calibri" w:cs="Calibri"/>
          <w:sz w:val="22"/>
          <w:szCs w:val="22"/>
        </w:rPr>
        <w:t xml:space="preserve">  </w:t>
      </w:r>
      <w:r w:rsidR="00532ABF">
        <w:rPr>
          <w:rFonts w:ascii="Calibri" w:eastAsia="Calibri" w:hAnsi="Calibri" w:cs="Calibri"/>
          <w:sz w:val="22"/>
          <w:szCs w:val="22"/>
        </w:rPr>
        <w:t>TOT facilitator will be provided</w:t>
      </w:r>
      <w:r w:rsidR="00F73494">
        <w:rPr>
          <w:rFonts w:ascii="Calibri" w:eastAsia="Calibri" w:hAnsi="Calibri" w:cs="Calibri"/>
          <w:sz w:val="22"/>
          <w:szCs w:val="22"/>
        </w:rPr>
        <w:t xml:space="preserve"> by </w:t>
      </w:r>
      <w:r w:rsidR="008F4816">
        <w:rPr>
          <w:rFonts w:ascii="Calibri" w:eastAsia="Calibri" w:hAnsi="Calibri" w:cs="Calibri"/>
          <w:sz w:val="22"/>
          <w:szCs w:val="22"/>
        </w:rPr>
        <w:t xml:space="preserve">the </w:t>
      </w:r>
      <w:r w:rsidR="00F73494">
        <w:rPr>
          <w:rFonts w:ascii="Calibri" w:eastAsia="Calibri" w:hAnsi="Calibri" w:cs="Calibri"/>
          <w:sz w:val="22"/>
          <w:szCs w:val="22"/>
        </w:rPr>
        <w:t>UNFPA</w:t>
      </w:r>
      <w:r w:rsidR="00ED00F0">
        <w:rPr>
          <w:rFonts w:ascii="Calibri" w:eastAsia="Calibri" w:hAnsi="Calibri" w:cs="Calibri"/>
          <w:sz w:val="22"/>
          <w:szCs w:val="22"/>
        </w:rPr>
        <w:t xml:space="preserve"> Armenia CO</w:t>
      </w:r>
      <w:r w:rsidR="00F73494">
        <w:rPr>
          <w:rFonts w:ascii="Calibri" w:eastAsia="Calibri" w:hAnsi="Calibri" w:cs="Calibri"/>
          <w:sz w:val="22"/>
          <w:szCs w:val="22"/>
        </w:rPr>
        <w:t xml:space="preserve">. </w:t>
      </w:r>
    </w:p>
    <w:p w:rsidR="00CD15B5" w:rsidRPr="00A81859" w:rsidRDefault="00124C8F" w:rsidP="00873993">
      <w:pPr>
        <w:numPr>
          <w:ilvl w:val="0"/>
          <w:numId w:val="2"/>
        </w:numPr>
        <w:rPr>
          <w:rFonts w:ascii="Calibri" w:eastAsia="Calibri" w:hAnsi="Calibri" w:cs="Calibri"/>
          <w:sz w:val="22"/>
          <w:szCs w:val="22"/>
        </w:rPr>
      </w:pPr>
      <w:r>
        <w:rPr>
          <w:rFonts w:ascii="Calibri" w:eastAsia="Calibri" w:hAnsi="Calibri" w:cs="Calibri"/>
          <w:sz w:val="22"/>
          <w:szCs w:val="22"/>
        </w:rPr>
        <w:t xml:space="preserve">Organize </w:t>
      </w:r>
      <w:r w:rsidRPr="00A81859">
        <w:rPr>
          <w:rFonts w:ascii="Calibri" w:eastAsia="Calibri" w:hAnsi="Calibri" w:cs="Calibri"/>
          <w:sz w:val="22"/>
          <w:szCs w:val="22"/>
        </w:rPr>
        <w:t>at</w:t>
      </w:r>
      <w:r>
        <w:rPr>
          <w:rFonts w:ascii="Calibri" w:eastAsia="Calibri" w:hAnsi="Calibri" w:cs="Calibri"/>
          <w:sz w:val="22"/>
          <w:szCs w:val="22"/>
        </w:rPr>
        <w:t xml:space="preserve"> least two </w:t>
      </w:r>
      <w:r w:rsidR="00CD15B5" w:rsidRPr="00A81859">
        <w:rPr>
          <w:rFonts w:ascii="Calibri" w:eastAsia="Calibri" w:hAnsi="Calibri" w:cs="Calibri"/>
          <w:sz w:val="22"/>
          <w:szCs w:val="22"/>
        </w:rPr>
        <w:t xml:space="preserve">Papa School </w:t>
      </w:r>
      <w:r w:rsidRPr="00A81859">
        <w:rPr>
          <w:rFonts w:ascii="Calibri" w:eastAsia="Calibri" w:hAnsi="Calibri" w:cs="Calibri"/>
          <w:sz w:val="22"/>
          <w:szCs w:val="22"/>
        </w:rPr>
        <w:t>sessions</w:t>
      </w:r>
      <w:r>
        <w:rPr>
          <w:rFonts w:ascii="Calibri" w:eastAsia="Calibri" w:hAnsi="Calibri" w:cs="Calibri"/>
          <w:sz w:val="22"/>
          <w:szCs w:val="22"/>
        </w:rPr>
        <w:t xml:space="preserve"> </w:t>
      </w:r>
      <w:r w:rsidRPr="00A81859">
        <w:rPr>
          <w:rFonts w:ascii="Calibri" w:eastAsia="Calibri" w:hAnsi="Calibri" w:cs="Calibri"/>
          <w:sz w:val="22"/>
          <w:szCs w:val="22"/>
        </w:rPr>
        <w:t>that</w:t>
      </w:r>
      <w:r w:rsidR="005419EA">
        <w:rPr>
          <w:rFonts w:ascii="Calibri" w:eastAsia="Calibri" w:hAnsi="Calibri" w:cs="Calibri"/>
          <w:sz w:val="22"/>
          <w:szCs w:val="22"/>
        </w:rPr>
        <w:t xml:space="preserve"> will </w:t>
      </w:r>
      <w:r w:rsidR="00CD15B5" w:rsidRPr="00A81859">
        <w:rPr>
          <w:rFonts w:ascii="Calibri" w:eastAsia="Calibri" w:hAnsi="Calibri" w:cs="Calibri"/>
          <w:sz w:val="22"/>
          <w:szCs w:val="22"/>
        </w:rPr>
        <w:t xml:space="preserve">be facilitated by </w:t>
      </w:r>
      <w:r w:rsidR="00D41068" w:rsidRPr="00A81859">
        <w:rPr>
          <w:rFonts w:ascii="Calibri" w:eastAsia="Calibri" w:hAnsi="Calibri" w:cs="Calibri"/>
          <w:sz w:val="22"/>
          <w:szCs w:val="22"/>
        </w:rPr>
        <w:t xml:space="preserve">the </w:t>
      </w:r>
      <w:r w:rsidR="00CD15B5" w:rsidRPr="00A81859">
        <w:rPr>
          <w:rFonts w:ascii="Calibri" w:eastAsia="Calibri" w:hAnsi="Calibri" w:cs="Calibri"/>
          <w:sz w:val="22"/>
          <w:szCs w:val="22"/>
        </w:rPr>
        <w:t>trained obstetrician –</w:t>
      </w:r>
      <w:r w:rsidR="00D5273C" w:rsidRPr="00A81859">
        <w:rPr>
          <w:rFonts w:ascii="Calibri" w:eastAsia="Calibri" w:hAnsi="Calibri" w:cs="Calibri"/>
          <w:sz w:val="22"/>
          <w:szCs w:val="22"/>
        </w:rPr>
        <w:t xml:space="preserve">gynaecologists </w:t>
      </w:r>
      <w:r w:rsidR="00D5273C">
        <w:rPr>
          <w:rFonts w:ascii="Calibri" w:eastAsia="Calibri" w:hAnsi="Calibri" w:cs="Calibri"/>
          <w:sz w:val="22"/>
          <w:szCs w:val="22"/>
        </w:rPr>
        <w:t>(identified</w:t>
      </w:r>
      <w:r w:rsidR="0042200B">
        <w:rPr>
          <w:rFonts w:ascii="Calibri" w:eastAsia="Calibri" w:hAnsi="Calibri" w:cs="Calibri"/>
          <w:sz w:val="22"/>
          <w:szCs w:val="22"/>
        </w:rPr>
        <w:t xml:space="preserve"> and trained six trainers)</w:t>
      </w:r>
      <w:r w:rsidR="00D5273C">
        <w:rPr>
          <w:rFonts w:ascii="Calibri" w:eastAsia="Calibri" w:hAnsi="Calibri" w:cs="Calibri"/>
          <w:sz w:val="22"/>
          <w:szCs w:val="22"/>
        </w:rPr>
        <w:t xml:space="preserve"> </w:t>
      </w:r>
      <w:r w:rsidR="00CD15B5" w:rsidRPr="00A81859">
        <w:rPr>
          <w:rFonts w:ascii="Calibri" w:eastAsia="Calibri" w:hAnsi="Calibri" w:cs="Calibri"/>
          <w:sz w:val="22"/>
          <w:szCs w:val="22"/>
        </w:rPr>
        <w:t>at their respective health facilities</w:t>
      </w:r>
      <w:r w:rsidR="00D41068" w:rsidRPr="00A81859">
        <w:rPr>
          <w:rFonts w:ascii="Calibri" w:eastAsia="Calibri" w:hAnsi="Calibri" w:cs="Calibri"/>
          <w:sz w:val="22"/>
          <w:szCs w:val="22"/>
        </w:rPr>
        <w:t xml:space="preserve"> </w:t>
      </w:r>
      <w:r w:rsidR="00804C32" w:rsidRPr="00A81859">
        <w:rPr>
          <w:rFonts w:ascii="Calibri" w:eastAsia="Calibri" w:hAnsi="Calibri" w:cs="Calibri"/>
          <w:sz w:val="22"/>
          <w:szCs w:val="22"/>
        </w:rPr>
        <w:t>(for</w:t>
      </w:r>
      <w:r w:rsidR="00D41068" w:rsidRPr="00A81859">
        <w:rPr>
          <w:rFonts w:ascii="Calibri" w:eastAsia="Calibri" w:hAnsi="Calibri" w:cs="Calibri"/>
          <w:sz w:val="22"/>
          <w:szCs w:val="22"/>
        </w:rPr>
        <w:t xml:space="preserve"> </w:t>
      </w:r>
      <w:r w:rsidR="00804C32" w:rsidRPr="00A81859">
        <w:rPr>
          <w:rFonts w:ascii="Calibri" w:eastAsia="Calibri" w:hAnsi="Calibri" w:cs="Calibri"/>
          <w:sz w:val="22"/>
          <w:szCs w:val="22"/>
        </w:rPr>
        <w:t>example,</w:t>
      </w:r>
      <w:r w:rsidR="00D41068" w:rsidRPr="00A81859">
        <w:rPr>
          <w:rFonts w:ascii="Calibri" w:eastAsia="Calibri" w:hAnsi="Calibri" w:cs="Calibri"/>
          <w:sz w:val="22"/>
          <w:szCs w:val="22"/>
        </w:rPr>
        <w:t xml:space="preserve"> at the premi</w:t>
      </w:r>
      <w:r w:rsidR="00A81859" w:rsidRPr="00A81859">
        <w:rPr>
          <w:rFonts w:ascii="Calibri" w:eastAsia="Calibri" w:hAnsi="Calibri" w:cs="Calibri"/>
          <w:sz w:val="22"/>
          <w:szCs w:val="22"/>
        </w:rPr>
        <w:t>ses of</w:t>
      </w:r>
      <w:r w:rsidR="00D5273C">
        <w:rPr>
          <w:rFonts w:ascii="Calibri" w:eastAsia="Calibri" w:hAnsi="Calibri" w:cs="Calibri"/>
          <w:sz w:val="22"/>
          <w:szCs w:val="22"/>
        </w:rPr>
        <w:t xml:space="preserve"> </w:t>
      </w:r>
      <w:r w:rsidR="00804C32">
        <w:rPr>
          <w:rFonts w:ascii="Calibri" w:eastAsia="Calibri" w:hAnsi="Calibri" w:cs="Calibri"/>
          <w:sz w:val="22"/>
          <w:szCs w:val="22"/>
        </w:rPr>
        <w:t xml:space="preserve">the </w:t>
      </w:r>
      <w:r w:rsidR="00804C32" w:rsidRPr="00A81859">
        <w:rPr>
          <w:rFonts w:ascii="Calibri" w:eastAsia="Calibri" w:hAnsi="Calibri" w:cs="Calibri"/>
          <w:sz w:val="22"/>
          <w:szCs w:val="22"/>
        </w:rPr>
        <w:t>Schools</w:t>
      </w:r>
      <w:r w:rsidR="00A81859" w:rsidRPr="00A81859">
        <w:rPr>
          <w:rFonts w:ascii="Calibri" w:eastAsia="Calibri" w:hAnsi="Calibri" w:cs="Calibri"/>
          <w:sz w:val="22"/>
          <w:szCs w:val="22"/>
        </w:rPr>
        <w:t xml:space="preserve"> of Motherhood)</w:t>
      </w:r>
      <w:r w:rsidR="00CD15B5" w:rsidRPr="00A81859">
        <w:rPr>
          <w:rFonts w:ascii="Calibri" w:eastAsia="Calibri" w:hAnsi="Calibri" w:cs="Calibri"/>
          <w:sz w:val="22"/>
          <w:szCs w:val="22"/>
        </w:rPr>
        <w:t>.</w:t>
      </w:r>
    </w:p>
    <w:p w:rsidR="0029733F" w:rsidRDefault="00124C8F">
      <w:pPr>
        <w:numPr>
          <w:ilvl w:val="0"/>
          <w:numId w:val="2"/>
        </w:numPr>
        <w:rPr>
          <w:rFonts w:ascii="Calibri" w:eastAsia="Calibri" w:hAnsi="Calibri" w:cs="Calibri"/>
          <w:sz w:val="22"/>
          <w:szCs w:val="22"/>
        </w:rPr>
      </w:pPr>
      <w:r>
        <w:rPr>
          <w:rFonts w:ascii="Calibri" w:eastAsia="Calibri" w:hAnsi="Calibri" w:cs="Calibri"/>
          <w:sz w:val="22"/>
          <w:szCs w:val="22"/>
        </w:rPr>
        <w:t xml:space="preserve"> M</w:t>
      </w:r>
      <w:r w:rsidR="0029733F">
        <w:rPr>
          <w:rFonts w:ascii="Calibri" w:eastAsia="Calibri" w:hAnsi="Calibri" w:cs="Calibri"/>
          <w:sz w:val="22"/>
          <w:szCs w:val="22"/>
        </w:rPr>
        <w:t xml:space="preserve">obilize regional health care providers (obstetrician-gynaecologists and midwives from Tavush, Shirak and Lori </w:t>
      </w:r>
      <w:r w:rsidR="00AE08A3">
        <w:rPr>
          <w:rFonts w:ascii="Calibri" w:eastAsia="Calibri" w:hAnsi="Calibri" w:cs="Calibri"/>
          <w:sz w:val="22"/>
          <w:szCs w:val="22"/>
        </w:rPr>
        <w:t>regions) to</w:t>
      </w:r>
      <w:r w:rsidR="0029733F">
        <w:rPr>
          <w:rFonts w:ascii="Calibri" w:eastAsia="Calibri" w:hAnsi="Calibri" w:cs="Calibri"/>
          <w:sz w:val="22"/>
          <w:szCs w:val="22"/>
        </w:rPr>
        <w:t xml:space="preserve"> participate at </w:t>
      </w:r>
      <w:r w:rsidR="00AE08A3">
        <w:rPr>
          <w:rFonts w:ascii="Calibri" w:eastAsia="Calibri" w:hAnsi="Calibri" w:cs="Calibri"/>
          <w:sz w:val="22"/>
          <w:szCs w:val="22"/>
        </w:rPr>
        <w:t>the trainings</w:t>
      </w:r>
      <w:r w:rsidR="0029733F">
        <w:rPr>
          <w:rFonts w:ascii="Calibri" w:eastAsia="Calibri" w:hAnsi="Calibri" w:cs="Calibri"/>
          <w:sz w:val="22"/>
          <w:szCs w:val="22"/>
        </w:rPr>
        <w:t xml:space="preserve"> to be facilitated by trainers </w:t>
      </w:r>
      <w:r w:rsidR="000F7566">
        <w:rPr>
          <w:rFonts w:ascii="Calibri" w:eastAsia="Calibri" w:hAnsi="Calibri" w:cs="Calibri"/>
          <w:sz w:val="22"/>
          <w:szCs w:val="22"/>
        </w:rPr>
        <w:t>–participan</w:t>
      </w:r>
      <w:r w:rsidR="0029733F">
        <w:rPr>
          <w:rFonts w:ascii="Calibri" w:eastAsia="Calibri" w:hAnsi="Calibri" w:cs="Calibri"/>
          <w:sz w:val="22"/>
          <w:szCs w:val="22"/>
        </w:rPr>
        <w:t>t</w:t>
      </w:r>
      <w:r w:rsidR="000F7566">
        <w:rPr>
          <w:rFonts w:ascii="Calibri" w:eastAsia="Calibri" w:hAnsi="Calibri" w:cs="Calibri"/>
          <w:sz w:val="22"/>
          <w:szCs w:val="22"/>
        </w:rPr>
        <w:t>s of</w:t>
      </w:r>
      <w:r w:rsidR="0029733F">
        <w:rPr>
          <w:rFonts w:ascii="Calibri" w:eastAsia="Calibri" w:hAnsi="Calibri" w:cs="Calibri"/>
          <w:sz w:val="22"/>
          <w:szCs w:val="22"/>
        </w:rPr>
        <w:t xml:space="preserve"> TOT </w:t>
      </w:r>
      <w:r w:rsidR="00724A38">
        <w:rPr>
          <w:rFonts w:ascii="Calibri" w:eastAsia="Calibri" w:hAnsi="Calibri" w:cs="Calibri"/>
          <w:sz w:val="22"/>
          <w:szCs w:val="22"/>
        </w:rPr>
        <w:t>(at</w:t>
      </w:r>
      <w:r w:rsidR="0029733F">
        <w:rPr>
          <w:rFonts w:ascii="Calibri" w:eastAsia="Calibri" w:hAnsi="Calibri" w:cs="Calibri"/>
          <w:sz w:val="22"/>
          <w:szCs w:val="22"/>
        </w:rPr>
        <w:t xml:space="preserve"> least 18 health care providers for each training</w:t>
      </w:r>
      <w:r>
        <w:rPr>
          <w:rFonts w:ascii="Calibri" w:eastAsia="Calibri" w:hAnsi="Calibri" w:cs="Calibri"/>
          <w:sz w:val="22"/>
          <w:szCs w:val="22"/>
        </w:rPr>
        <w:t>).</w:t>
      </w:r>
      <w:r w:rsidR="0029733F">
        <w:rPr>
          <w:rFonts w:ascii="Calibri" w:eastAsia="Calibri" w:hAnsi="Calibri" w:cs="Calibri"/>
          <w:sz w:val="22"/>
          <w:szCs w:val="22"/>
        </w:rPr>
        <w:t xml:space="preserve"> </w:t>
      </w:r>
    </w:p>
    <w:p w:rsidR="0029733F" w:rsidRDefault="00124C8F" w:rsidP="00491236">
      <w:pPr>
        <w:numPr>
          <w:ilvl w:val="0"/>
          <w:numId w:val="2"/>
        </w:numPr>
        <w:rPr>
          <w:rFonts w:ascii="Calibri" w:eastAsia="Calibri" w:hAnsi="Calibri" w:cs="Calibri"/>
          <w:sz w:val="22"/>
          <w:szCs w:val="22"/>
        </w:rPr>
      </w:pPr>
      <w:r>
        <w:rPr>
          <w:rFonts w:ascii="Calibri" w:eastAsia="Calibri" w:hAnsi="Calibri" w:cs="Calibri"/>
          <w:sz w:val="22"/>
          <w:szCs w:val="22"/>
        </w:rPr>
        <w:t>O</w:t>
      </w:r>
      <w:r w:rsidR="0029733F" w:rsidRPr="0029733F">
        <w:rPr>
          <w:rFonts w:ascii="Calibri" w:eastAsia="Calibri" w:hAnsi="Calibri" w:cs="Calibri"/>
          <w:sz w:val="22"/>
          <w:szCs w:val="22"/>
        </w:rPr>
        <w:t>rganize a six two-day trainings for regional healthcare providers (obstetrician-gynaecologists and midwives from Tavush, Shirak and Lori regions) in the respective regions</w:t>
      </w:r>
      <w:r w:rsidR="00275382">
        <w:rPr>
          <w:rFonts w:ascii="Calibri" w:eastAsia="Calibri" w:hAnsi="Calibri" w:cs="Calibri"/>
          <w:sz w:val="22"/>
          <w:szCs w:val="22"/>
        </w:rPr>
        <w:t>; b</w:t>
      </w:r>
      <w:r w:rsidR="0029733F" w:rsidRPr="0029733F">
        <w:rPr>
          <w:rFonts w:ascii="Calibri" w:eastAsia="Calibri" w:hAnsi="Calibri" w:cs="Calibri"/>
          <w:sz w:val="22"/>
          <w:szCs w:val="22"/>
        </w:rPr>
        <w:t xml:space="preserve">e responsible for training logistics, including for renting training venue, organization of coffee-breaks, lunches, hotel accommodation, </w:t>
      </w:r>
      <w:r w:rsidR="00724A38" w:rsidRPr="0029733F">
        <w:rPr>
          <w:rFonts w:ascii="Calibri" w:eastAsia="Calibri" w:hAnsi="Calibri" w:cs="Calibri"/>
          <w:sz w:val="22"/>
          <w:szCs w:val="22"/>
        </w:rPr>
        <w:t>transportation, if</w:t>
      </w:r>
      <w:r w:rsidR="0029733F" w:rsidRPr="0029733F">
        <w:rPr>
          <w:rFonts w:ascii="Calibri" w:eastAsia="Calibri" w:hAnsi="Calibri" w:cs="Calibri"/>
          <w:sz w:val="22"/>
          <w:szCs w:val="22"/>
        </w:rPr>
        <w:t xml:space="preserve"> needed,</w:t>
      </w:r>
      <w:r w:rsidR="00AE08A3">
        <w:rPr>
          <w:rFonts w:ascii="Calibri" w:eastAsia="Calibri" w:hAnsi="Calibri" w:cs="Calibri"/>
          <w:sz w:val="22"/>
          <w:szCs w:val="22"/>
        </w:rPr>
        <w:t xml:space="preserve"> printing of </w:t>
      </w:r>
      <w:r w:rsidR="00843CAD">
        <w:rPr>
          <w:rFonts w:ascii="Calibri" w:eastAsia="Calibri" w:hAnsi="Calibri" w:cs="Calibri"/>
          <w:sz w:val="22"/>
          <w:szCs w:val="22"/>
        </w:rPr>
        <w:t>handouts,</w:t>
      </w:r>
      <w:r w:rsidR="0029733F" w:rsidRPr="0029733F">
        <w:rPr>
          <w:rFonts w:ascii="Calibri" w:eastAsia="Calibri" w:hAnsi="Calibri" w:cs="Calibri"/>
          <w:sz w:val="22"/>
          <w:szCs w:val="22"/>
        </w:rPr>
        <w:t xml:space="preserve"> etc.      </w:t>
      </w:r>
    </w:p>
    <w:p w:rsidR="00AE08A3" w:rsidRDefault="00AE08A3" w:rsidP="00491236">
      <w:pPr>
        <w:numPr>
          <w:ilvl w:val="0"/>
          <w:numId w:val="2"/>
        </w:numPr>
        <w:rPr>
          <w:rFonts w:ascii="Calibri" w:eastAsia="Calibri" w:hAnsi="Calibri" w:cs="Calibri"/>
          <w:sz w:val="22"/>
          <w:szCs w:val="22"/>
        </w:rPr>
      </w:pPr>
      <w:r>
        <w:rPr>
          <w:rFonts w:ascii="Calibri" w:eastAsia="Calibri" w:hAnsi="Calibri" w:cs="Calibri"/>
          <w:sz w:val="22"/>
          <w:szCs w:val="22"/>
        </w:rPr>
        <w:t xml:space="preserve">Conduct pre-and post-tests to evaluate the knowledge increase as a result of training, and </w:t>
      </w:r>
      <w:r w:rsidR="00804C32">
        <w:rPr>
          <w:rFonts w:ascii="Calibri" w:eastAsia="Calibri" w:hAnsi="Calibri" w:cs="Calibri"/>
          <w:sz w:val="22"/>
          <w:szCs w:val="22"/>
        </w:rPr>
        <w:t xml:space="preserve">to </w:t>
      </w:r>
      <w:r>
        <w:rPr>
          <w:rFonts w:ascii="Calibri" w:eastAsia="Calibri" w:hAnsi="Calibri" w:cs="Calibri"/>
          <w:sz w:val="22"/>
          <w:szCs w:val="22"/>
        </w:rPr>
        <w:t>prepare summary report on it.</w:t>
      </w:r>
    </w:p>
    <w:p w:rsidR="00AE08A3" w:rsidRDefault="00AE08A3" w:rsidP="00491236">
      <w:pPr>
        <w:numPr>
          <w:ilvl w:val="0"/>
          <w:numId w:val="2"/>
        </w:numPr>
        <w:rPr>
          <w:rFonts w:ascii="Calibri" w:eastAsia="Calibri" w:hAnsi="Calibri" w:cs="Calibri"/>
          <w:sz w:val="22"/>
          <w:szCs w:val="22"/>
        </w:rPr>
      </w:pPr>
      <w:r>
        <w:rPr>
          <w:rFonts w:ascii="Calibri" w:eastAsia="Calibri" w:hAnsi="Calibri" w:cs="Calibri"/>
          <w:sz w:val="22"/>
          <w:szCs w:val="22"/>
        </w:rPr>
        <w:t xml:space="preserve">Due to possible COVID- limitations envisage the possibility of conducting </w:t>
      </w:r>
      <w:r w:rsidR="00804C32">
        <w:rPr>
          <w:rFonts w:ascii="Calibri" w:eastAsia="Calibri" w:hAnsi="Calibri" w:cs="Calibri"/>
          <w:sz w:val="22"/>
          <w:szCs w:val="22"/>
        </w:rPr>
        <w:t>training online</w:t>
      </w:r>
      <w:r>
        <w:rPr>
          <w:rFonts w:ascii="Calibri" w:eastAsia="Calibri" w:hAnsi="Calibri" w:cs="Calibri"/>
          <w:sz w:val="22"/>
          <w:szCs w:val="22"/>
        </w:rPr>
        <w:t>.</w:t>
      </w:r>
    </w:p>
    <w:p w:rsidR="00051E31" w:rsidRDefault="00AE08A3">
      <w:pPr>
        <w:numPr>
          <w:ilvl w:val="0"/>
          <w:numId w:val="2"/>
        </w:numPr>
        <w:rPr>
          <w:rFonts w:ascii="Calibri" w:eastAsia="Calibri" w:hAnsi="Calibri" w:cs="Calibri"/>
          <w:sz w:val="22"/>
          <w:szCs w:val="22"/>
        </w:rPr>
      </w:pPr>
      <w:r>
        <w:rPr>
          <w:rFonts w:ascii="Calibri" w:eastAsia="Calibri" w:hAnsi="Calibri" w:cs="Calibri"/>
          <w:sz w:val="22"/>
          <w:szCs w:val="22"/>
        </w:rPr>
        <w:t>Prepare report on activities implemented in the frame of the assignment.</w:t>
      </w:r>
    </w:p>
    <w:p w:rsidR="00051E31" w:rsidRDefault="00051E31">
      <w:pPr>
        <w:rPr>
          <w:rFonts w:ascii="Calibri" w:eastAsia="Calibri" w:hAnsi="Calibri" w:cs="Calibri"/>
          <w:sz w:val="22"/>
          <w:szCs w:val="22"/>
        </w:rPr>
      </w:pPr>
    </w:p>
    <w:p w:rsidR="00051E31" w:rsidRDefault="00051E31">
      <w:pPr>
        <w:pBdr>
          <w:top w:val="nil"/>
          <w:left w:val="nil"/>
          <w:bottom w:val="nil"/>
          <w:right w:val="nil"/>
          <w:between w:val="nil"/>
        </w:pBdr>
        <w:ind w:left="600"/>
        <w:jc w:val="both"/>
        <w:rPr>
          <w:rFonts w:ascii="Calibri" w:eastAsia="Calibri" w:hAnsi="Calibri" w:cs="Calibri"/>
          <w:color w:val="000000"/>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Expected Deliverables and Timing</w:t>
      </w:r>
    </w:p>
    <w:p w:rsidR="00051E31" w:rsidRDefault="00051E31">
      <w:pPr>
        <w:pBdr>
          <w:top w:val="nil"/>
          <w:left w:val="nil"/>
          <w:bottom w:val="nil"/>
          <w:right w:val="nil"/>
          <w:between w:val="nil"/>
        </w:pBdr>
        <w:ind w:left="720"/>
        <w:rPr>
          <w:rFonts w:ascii="Calibri" w:eastAsia="Calibri" w:hAnsi="Calibri" w:cs="Calibri"/>
          <w:b/>
          <w:color w:val="000000"/>
          <w:sz w:val="22"/>
          <w:szCs w:val="22"/>
        </w:rPr>
      </w:pPr>
    </w:p>
    <w:p w:rsidR="00051E31" w:rsidRDefault="00AE08A3">
      <w:pPr>
        <w:numPr>
          <w:ilvl w:val="0"/>
          <w:numId w:val="4"/>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Identification of six trainers and orga</w:t>
      </w:r>
      <w:r w:rsidR="00B969AE">
        <w:rPr>
          <w:rFonts w:ascii="Calibri" w:eastAsia="Calibri" w:hAnsi="Calibri" w:cs="Calibri"/>
          <w:sz w:val="22"/>
          <w:szCs w:val="22"/>
        </w:rPr>
        <w:t>nization of TOT- by September 20</w:t>
      </w:r>
      <w:r>
        <w:rPr>
          <w:rFonts w:ascii="Calibri" w:eastAsia="Calibri" w:hAnsi="Calibri" w:cs="Calibri"/>
          <w:sz w:val="22"/>
          <w:szCs w:val="22"/>
        </w:rPr>
        <w:t>, 2021</w:t>
      </w:r>
    </w:p>
    <w:p w:rsidR="00051E31" w:rsidRDefault="00AE08A3">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Organization of a six two-days training for regional health care providers in regions- from October 1, 2021- November 25, 2021.</w:t>
      </w:r>
      <w:r w:rsidR="00D565CE">
        <w:rPr>
          <w:rFonts w:ascii="Calibri" w:eastAsia="Calibri" w:hAnsi="Calibri" w:cs="Calibri"/>
          <w:color w:val="000000"/>
          <w:sz w:val="22"/>
          <w:szCs w:val="22"/>
        </w:rPr>
        <w:t xml:space="preserve"> Summary report on training with pre- and post-tests evaluation.</w:t>
      </w:r>
    </w:p>
    <w:p w:rsidR="001520C1" w:rsidRPr="001520C1" w:rsidRDefault="001520C1" w:rsidP="001520C1">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Organization of Papa School sessions from October 1, 2021- November 25, 2021.</w:t>
      </w:r>
    </w:p>
    <w:p w:rsidR="00AE08A3" w:rsidRDefault="00AE08A3">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 xml:space="preserve">Report on completing </w:t>
      </w:r>
      <w:r w:rsidR="00525889">
        <w:rPr>
          <w:rFonts w:ascii="Calibri" w:eastAsia="Calibri" w:hAnsi="Calibri" w:cs="Calibri"/>
          <w:color w:val="000000"/>
          <w:sz w:val="22"/>
          <w:szCs w:val="22"/>
        </w:rPr>
        <w:t>of the</w:t>
      </w:r>
      <w:r w:rsidR="00D565CE">
        <w:rPr>
          <w:rFonts w:ascii="Calibri" w:eastAsia="Calibri" w:hAnsi="Calibri" w:cs="Calibri"/>
          <w:color w:val="000000"/>
          <w:sz w:val="22"/>
          <w:szCs w:val="22"/>
        </w:rPr>
        <w:t xml:space="preserve"> </w:t>
      </w:r>
      <w:r>
        <w:rPr>
          <w:rFonts w:ascii="Calibri" w:eastAsia="Calibri" w:hAnsi="Calibri" w:cs="Calibri"/>
          <w:color w:val="000000"/>
          <w:sz w:val="22"/>
          <w:szCs w:val="22"/>
        </w:rPr>
        <w:t>assignment – by December 1, 2021.</w:t>
      </w:r>
    </w:p>
    <w:p w:rsidR="00051E31" w:rsidRDefault="00E26E7C">
      <w:p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(In case</w:t>
      </w:r>
      <w:r w:rsidR="006A5369">
        <w:rPr>
          <w:rFonts w:ascii="Calibri" w:eastAsia="Calibri" w:hAnsi="Calibri" w:cs="Calibri"/>
          <w:color w:val="000000"/>
          <w:sz w:val="22"/>
          <w:szCs w:val="22"/>
        </w:rPr>
        <w:t xml:space="preserve"> of any technical obstacles, a</w:t>
      </w:r>
      <w:r>
        <w:rPr>
          <w:rFonts w:ascii="Calibri" w:eastAsia="Calibri" w:hAnsi="Calibri" w:cs="Calibri"/>
          <w:color w:val="000000"/>
          <w:sz w:val="22"/>
          <w:szCs w:val="22"/>
        </w:rPr>
        <w:t xml:space="preserve"> non-cost extension of the Contract is possible for 10 working days).</w:t>
      </w: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Payment</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 xml:space="preserve">The payment will be made in AMD upon timely submission and approval of the final report. </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UNFPA’s policy is to pay for the performance of contractual services rendered or to effect payment upon the achievement of specific milestones described in the contract. UNFPA’s policy is not to grant advance payments except in unusual situations where the potential contractor specifies in the financial proposal that there are special circumstances warranting an advance payment. UNFPA will normally require a bank guarantee or other suitable security arrangement.</w:t>
      </w:r>
    </w:p>
    <w:p w:rsidR="00051E31" w:rsidRDefault="00051E31">
      <w:pPr>
        <w:jc w:val="both"/>
        <w:rPr>
          <w:rFonts w:ascii="Calibri" w:eastAsia="Calibri" w:hAnsi="Calibri" w:cs="Calibri"/>
          <w:sz w:val="22"/>
          <w:szCs w:val="22"/>
        </w:rPr>
      </w:pPr>
    </w:p>
    <w:p w:rsidR="00051E31" w:rsidRDefault="00E26E7C">
      <w:pPr>
        <w:jc w:val="both"/>
        <w:rPr>
          <w:rFonts w:ascii="Calibri" w:eastAsia="Calibri" w:hAnsi="Calibri" w:cs="Calibri"/>
          <w:sz w:val="22"/>
          <w:szCs w:val="22"/>
        </w:rPr>
      </w:pPr>
      <w:r>
        <w:rPr>
          <w:rFonts w:ascii="Calibri" w:eastAsia="Calibri" w:hAnsi="Calibri" w:cs="Calibri"/>
          <w:sz w:val="22"/>
          <w:szCs w:val="22"/>
        </w:rPr>
        <w:t>Any request for an advance payment is to be justified and documented, and must be submitted with the financial proposal. The justification shall explain the need for the advance payment, itemize the amount requested and provide a time schedule</w:t>
      </w:r>
      <w:r w:rsidR="00724A38">
        <w:rPr>
          <w:rFonts w:ascii="Calibri" w:eastAsia="Calibri" w:hAnsi="Calibri" w:cs="Calibri"/>
          <w:sz w:val="22"/>
          <w:szCs w:val="22"/>
        </w:rPr>
        <w:t xml:space="preserve"> for utilization of said amount </w:t>
      </w:r>
      <w:r>
        <w:rPr>
          <w:rFonts w:ascii="Calibri" w:eastAsia="Calibri" w:hAnsi="Calibri" w:cs="Calibri"/>
          <w:sz w:val="22"/>
          <w:szCs w:val="22"/>
        </w:rPr>
        <w:t>Further information may be requested by UNFPA at the time of finalizing contract negotiations with the awarded organization.</w:t>
      </w:r>
    </w:p>
    <w:p w:rsidR="00051E31" w:rsidRDefault="00051E31">
      <w:pPr>
        <w:jc w:val="both"/>
        <w:rPr>
          <w:rFonts w:ascii="Calibri" w:eastAsia="Calibri" w:hAnsi="Calibri" w:cs="Calibri"/>
          <w:sz w:val="22"/>
          <w:szCs w:val="22"/>
        </w:rPr>
      </w:pPr>
    </w:p>
    <w:p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Qualifications and Experience Requirements</w:t>
      </w:r>
    </w:p>
    <w:p w:rsidR="00051E31" w:rsidRDefault="00051E31">
      <w:pPr>
        <w:pBdr>
          <w:top w:val="nil"/>
          <w:left w:val="nil"/>
          <w:bottom w:val="nil"/>
          <w:right w:val="nil"/>
          <w:between w:val="nil"/>
        </w:pBdr>
        <w:ind w:left="720"/>
        <w:rPr>
          <w:rFonts w:ascii="Calibri" w:eastAsia="Calibri" w:hAnsi="Calibri" w:cs="Calibri"/>
          <w:b/>
          <w:color w:val="000000"/>
          <w:sz w:val="22"/>
          <w:szCs w:val="22"/>
        </w:rPr>
      </w:pPr>
    </w:p>
    <w:p w:rsidR="00051E31" w:rsidRDefault="00E26E7C">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Organization registered and operating in the Republic of Armenia with mission and goals relevant to the project; </w:t>
      </w:r>
    </w:p>
    <w:p w:rsidR="00051E31" w:rsidRDefault="00E26E7C">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At least</w:t>
      </w:r>
      <w:r w:rsidR="00724A38">
        <w:rPr>
          <w:rFonts w:ascii="Calibri" w:eastAsia="Calibri" w:hAnsi="Calibri" w:cs="Calibri"/>
          <w:color w:val="000000"/>
          <w:sz w:val="22"/>
          <w:szCs w:val="22"/>
        </w:rPr>
        <w:t xml:space="preserve"> 5 years’ experience in organizing training in health sector</w:t>
      </w:r>
      <w:r>
        <w:rPr>
          <w:rFonts w:ascii="Calibri" w:eastAsia="Calibri" w:hAnsi="Calibri" w:cs="Calibri"/>
          <w:sz w:val="22"/>
          <w:szCs w:val="22"/>
        </w:rPr>
        <w:t>;</w:t>
      </w:r>
    </w:p>
    <w:p w:rsidR="00051E31" w:rsidRDefault="00874524">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Proven experience of working in area reproductive and maternal health is an asset</w:t>
      </w:r>
      <w:r w:rsidR="00E26E7C">
        <w:rPr>
          <w:rFonts w:ascii="Calibri" w:eastAsia="Calibri" w:hAnsi="Calibri" w:cs="Calibri"/>
          <w:color w:val="000000"/>
          <w:sz w:val="22"/>
          <w:szCs w:val="22"/>
        </w:rPr>
        <w:t xml:space="preserve">;  </w:t>
      </w:r>
    </w:p>
    <w:p w:rsidR="00051E31" w:rsidRDefault="00E26E7C">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Work experience with international organizations and UNFPA or other UN Agencies is an asset.</w:t>
      </w:r>
    </w:p>
    <w:p w:rsidR="00051E31" w:rsidRDefault="00051E31">
      <w:pPr>
        <w:jc w:val="both"/>
        <w:rPr>
          <w:rFonts w:ascii="Calibri" w:eastAsia="Calibri" w:hAnsi="Calibri" w:cs="Calibri"/>
          <w:sz w:val="22"/>
          <w:szCs w:val="22"/>
        </w:rPr>
      </w:pPr>
      <w:bookmarkStart w:id="0" w:name="_heading=h.gjdgxs" w:colFirst="0" w:colLast="0"/>
      <w:bookmarkEnd w:id="0"/>
    </w:p>
    <w:p w:rsidR="006F5D4D" w:rsidRDefault="006F5D4D">
      <w:pPr>
        <w:jc w:val="both"/>
        <w:rPr>
          <w:rFonts w:ascii="Calibri" w:eastAsia="Calibri" w:hAnsi="Calibri" w:cs="Calibri"/>
          <w:sz w:val="22"/>
          <w:szCs w:val="22"/>
        </w:rPr>
      </w:pPr>
      <w:bookmarkStart w:id="1" w:name="_GoBack"/>
      <w:bookmarkEnd w:id="1"/>
    </w:p>
    <w:p w:rsidR="006F5D4D" w:rsidRDefault="006F5D4D">
      <w:pPr>
        <w:jc w:val="both"/>
        <w:rPr>
          <w:rFonts w:ascii="Calibri" w:eastAsia="Calibri" w:hAnsi="Calibri" w:cs="Calibri"/>
          <w:sz w:val="22"/>
          <w:szCs w:val="22"/>
        </w:rPr>
      </w:pPr>
    </w:p>
    <w:p w:rsidR="006F5D4D" w:rsidRPr="006F5D4D" w:rsidRDefault="006F5D4D" w:rsidP="006F5D4D">
      <w:pPr>
        <w:pBdr>
          <w:top w:val="nil"/>
          <w:left w:val="nil"/>
          <w:bottom w:val="nil"/>
          <w:right w:val="nil"/>
          <w:between w:val="nil"/>
        </w:pBdr>
        <w:ind w:left="284"/>
        <w:jc w:val="both"/>
        <w:rPr>
          <w:rFonts w:ascii="Calibri" w:eastAsia="Calibri" w:hAnsi="Calibri" w:cs="Calibri"/>
          <w:color w:val="000000"/>
          <w:sz w:val="22"/>
          <w:szCs w:val="22"/>
        </w:rPr>
      </w:pPr>
      <w:r w:rsidRPr="006F5D4D">
        <w:rPr>
          <w:rFonts w:ascii="Calibri" w:eastAsia="Calibri" w:hAnsi="Calibri" w:cs="Calibri"/>
          <w:color w:val="000000"/>
          <w:sz w:val="22"/>
          <w:szCs w:val="22"/>
        </w:rPr>
        <w:t>This procurement case is announced in the framework of the “EU 4 Gender Equality: Together against gender stereotypes and gender-based violence" programme, funded by the European Union, implemented jointly by UN Women and UNFPA.</w:t>
      </w:r>
    </w:p>
    <w:p w:rsidR="006F5D4D" w:rsidRPr="006F5D4D" w:rsidRDefault="006F5D4D" w:rsidP="006F5D4D">
      <w:pPr>
        <w:pBdr>
          <w:top w:val="nil"/>
          <w:left w:val="nil"/>
          <w:bottom w:val="nil"/>
          <w:right w:val="nil"/>
          <w:between w:val="nil"/>
        </w:pBdr>
        <w:jc w:val="both"/>
        <w:rPr>
          <w:rFonts w:ascii="Calibri" w:eastAsia="Calibri" w:hAnsi="Calibri" w:cs="Calibri"/>
          <w:color w:val="000000"/>
          <w:sz w:val="22"/>
          <w:szCs w:val="22"/>
        </w:rPr>
      </w:pPr>
    </w:p>
    <w:sectPr w:rsidR="006F5D4D" w:rsidRPr="006F5D4D">
      <w:pgSz w:w="12240" w:h="15840"/>
      <w:pgMar w:top="1350" w:right="1440" w:bottom="117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FE" w:rsidRDefault="002B7FFE">
      <w:r>
        <w:separator/>
      </w:r>
    </w:p>
  </w:endnote>
  <w:endnote w:type="continuationSeparator" w:id="0">
    <w:p w:rsidR="002B7FFE" w:rsidRDefault="002B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FE" w:rsidRDefault="002B7FFE">
      <w:r>
        <w:separator/>
      </w:r>
    </w:p>
  </w:footnote>
  <w:footnote w:type="continuationSeparator" w:id="0">
    <w:p w:rsidR="002B7FFE" w:rsidRDefault="002B7FFE">
      <w:r>
        <w:continuationSeparator/>
      </w:r>
    </w:p>
  </w:footnote>
  <w:footnote w:id="1">
    <w:p w:rsidR="00C63A99" w:rsidRDefault="00C63A99" w:rsidP="00C63A99">
      <w:pPr>
        <w:pStyle w:val="Footnote"/>
      </w:pPr>
      <w:r>
        <w:rPr>
          <w:vertAlign w:val="superscript"/>
        </w:rPr>
        <w:footnoteRef/>
      </w:r>
      <w:r>
        <w:rPr>
          <w:rFonts w:eastAsia="Arial Unicode MS" w:cs="Arial Unicode MS"/>
        </w:rPr>
        <w:t xml:space="preserve"> </w:t>
      </w:r>
      <w:proofErr w:type="spellStart"/>
      <w:r w:rsidRPr="009B70BD">
        <w:rPr>
          <w:rFonts w:asciiTheme="minorHAnsi" w:eastAsia="Arial Unicode MS" w:hAnsiTheme="minorHAnsi" w:cstheme="minorHAnsi"/>
        </w:rPr>
        <w:t>Tokhi</w:t>
      </w:r>
      <w:proofErr w:type="spellEnd"/>
      <w:r w:rsidRPr="009B70BD">
        <w:rPr>
          <w:rFonts w:asciiTheme="minorHAnsi" w:eastAsia="Arial Unicode MS" w:hAnsiTheme="minorHAnsi" w:cstheme="minorHAnsi"/>
        </w:rPr>
        <w:t xml:space="preserve"> M, </w:t>
      </w:r>
      <w:proofErr w:type="spellStart"/>
      <w:r w:rsidRPr="009B70BD">
        <w:rPr>
          <w:rFonts w:asciiTheme="minorHAnsi" w:eastAsia="Arial Unicode MS" w:hAnsiTheme="minorHAnsi" w:cstheme="minorHAnsi"/>
        </w:rPr>
        <w:t>Comrie</w:t>
      </w:r>
      <w:proofErr w:type="spellEnd"/>
      <w:r w:rsidRPr="009B70BD">
        <w:rPr>
          <w:rFonts w:asciiTheme="minorHAnsi" w:eastAsia="Arial Unicode MS" w:hAnsiTheme="minorHAnsi" w:cstheme="minorHAnsi"/>
        </w:rPr>
        <w:t xml:space="preserve">-Thomson L, Davis J, </w:t>
      </w:r>
      <w:proofErr w:type="spellStart"/>
      <w:r w:rsidRPr="009B70BD">
        <w:rPr>
          <w:rFonts w:asciiTheme="minorHAnsi" w:eastAsia="Arial Unicode MS" w:hAnsiTheme="minorHAnsi" w:cstheme="minorHAnsi"/>
        </w:rPr>
        <w:t>Portela</w:t>
      </w:r>
      <w:proofErr w:type="spellEnd"/>
      <w:r w:rsidRPr="009B70BD">
        <w:rPr>
          <w:rFonts w:asciiTheme="minorHAnsi" w:eastAsia="Arial Unicode MS" w:hAnsiTheme="minorHAnsi" w:cstheme="minorHAnsi"/>
        </w:rPr>
        <w:t xml:space="preserve"> A, </w:t>
      </w:r>
      <w:proofErr w:type="spellStart"/>
      <w:r w:rsidRPr="009B70BD">
        <w:rPr>
          <w:rFonts w:asciiTheme="minorHAnsi" w:eastAsia="Arial Unicode MS" w:hAnsiTheme="minorHAnsi" w:cstheme="minorHAnsi"/>
        </w:rPr>
        <w:t>Chersich</w:t>
      </w:r>
      <w:proofErr w:type="spellEnd"/>
      <w:r w:rsidRPr="009B70BD">
        <w:rPr>
          <w:rFonts w:asciiTheme="minorHAnsi" w:eastAsia="Arial Unicode MS" w:hAnsiTheme="minorHAnsi" w:cstheme="minorHAnsi"/>
        </w:rPr>
        <w:t xml:space="preserve"> M, </w:t>
      </w:r>
      <w:proofErr w:type="spellStart"/>
      <w:r w:rsidRPr="009B70BD">
        <w:rPr>
          <w:rFonts w:asciiTheme="minorHAnsi" w:eastAsia="Arial Unicode MS" w:hAnsiTheme="minorHAnsi" w:cstheme="minorHAnsi"/>
        </w:rPr>
        <w:t>Luchters</w:t>
      </w:r>
      <w:proofErr w:type="spellEnd"/>
      <w:r w:rsidRPr="009B70BD">
        <w:rPr>
          <w:rFonts w:asciiTheme="minorHAnsi" w:eastAsia="Arial Unicode MS" w:hAnsiTheme="minorHAnsi" w:cstheme="minorHAnsi"/>
        </w:rPr>
        <w:t xml:space="preserve"> S (2018) Involving men to improve maternal and newborn health: A systematic review of the effectiveness of interventions. </w:t>
      </w:r>
      <w:proofErr w:type="spellStart"/>
      <w:r w:rsidRPr="009B70BD">
        <w:rPr>
          <w:rFonts w:asciiTheme="minorHAnsi" w:eastAsia="Arial Unicode MS" w:hAnsiTheme="minorHAnsi" w:cstheme="minorHAnsi"/>
        </w:rPr>
        <w:t>PLoS</w:t>
      </w:r>
      <w:proofErr w:type="spellEnd"/>
      <w:r w:rsidRPr="009B70BD">
        <w:rPr>
          <w:rFonts w:asciiTheme="minorHAnsi" w:eastAsia="Arial Unicode MS" w:hAnsiTheme="minorHAnsi" w:cstheme="minorHAnsi"/>
        </w:rPr>
        <w:t xml:space="preserve"> ONE 13(1): e0191620.</w:t>
      </w:r>
      <w:r>
        <w:rPr>
          <w:rFonts w:eastAsia="Arial Unicode MS" w:cs="Arial Unicode MS"/>
        </w:rPr>
        <w:t xml:space="preserve"> </w:t>
      </w:r>
    </w:p>
  </w:footnote>
  <w:footnote w:id="2">
    <w:p w:rsidR="00C63A99" w:rsidRDefault="00C63A99" w:rsidP="00C63A99">
      <w:pPr>
        <w:pStyle w:val="FootnoteText"/>
      </w:pPr>
      <w:r>
        <w:rPr>
          <w:rStyle w:val="FootnoteReference"/>
        </w:rPr>
        <w:footnoteRef/>
      </w:r>
      <w:r>
        <w:t xml:space="preserve"> WHO (2015) Recommendations on health promotion interventions for maternal and </w:t>
      </w:r>
      <w:proofErr w:type="spellStart"/>
      <w:r>
        <w:t>newborn</w:t>
      </w:r>
      <w:proofErr w:type="spellEnd"/>
      <w:r>
        <w:t xml:space="preserve"> health. Available at: </w:t>
      </w:r>
      <w:r w:rsidRPr="00AF7884">
        <w:t>https://apps.who.int/iris/bitstream/handle/10665/172427/9789241508742_report_eng.pdf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15:restartNumberingAfterBreak="0">
    <w:nsid w:val="38BC402B"/>
    <w:multiLevelType w:val="hybridMultilevel"/>
    <w:tmpl w:val="F81025A0"/>
    <w:numStyleLink w:val="Dash"/>
  </w:abstractNum>
  <w:abstractNum w:abstractNumId="5" w15:restartNumberingAfterBreak="0">
    <w:nsid w:val="60EC1AC7"/>
    <w:multiLevelType w:val="hybridMultilevel"/>
    <w:tmpl w:val="F81025A0"/>
    <w:styleLink w:val="Dash"/>
    <w:lvl w:ilvl="0" w:tplc="CEE264D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93EAD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D6AFCB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6EAD17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A7077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468D1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2AAD6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68A71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10E6E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1"/>
    <w:rsid w:val="00051E31"/>
    <w:rsid w:val="000B7EB7"/>
    <w:rsid w:val="000F7566"/>
    <w:rsid w:val="0010253D"/>
    <w:rsid w:val="00124C8F"/>
    <w:rsid w:val="001520C1"/>
    <w:rsid w:val="00187CF2"/>
    <w:rsid w:val="00190F53"/>
    <w:rsid w:val="00217857"/>
    <w:rsid w:val="00221FAC"/>
    <w:rsid w:val="00275382"/>
    <w:rsid w:val="002766EA"/>
    <w:rsid w:val="0029733F"/>
    <w:rsid w:val="002B7FFE"/>
    <w:rsid w:val="002C1E7C"/>
    <w:rsid w:val="003151A7"/>
    <w:rsid w:val="003450A0"/>
    <w:rsid w:val="00352F4A"/>
    <w:rsid w:val="003F0DA3"/>
    <w:rsid w:val="0042200B"/>
    <w:rsid w:val="004A0E51"/>
    <w:rsid w:val="00525889"/>
    <w:rsid w:val="00532ABF"/>
    <w:rsid w:val="005419EA"/>
    <w:rsid w:val="0057625B"/>
    <w:rsid w:val="0060494E"/>
    <w:rsid w:val="0065708C"/>
    <w:rsid w:val="00663F15"/>
    <w:rsid w:val="006A5369"/>
    <w:rsid w:val="006B4482"/>
    <w:rsid w:val="006C53CB"/>
    <w:rsid w:val="006E6FB2"/>
    <w:rsid w:val="006F5D4D"/>
    <w:rsid w:val="00720315"/>
    <w:rsid w:val="00724A38"/>
    <w:rsid w:val="00772D78"/>
    <w:rsid w:val="00787EB4"/>
    <w:rsid w:val="007958AD"/>
    <w:rsid w:val="007B2CE8"/>
    <w:rsid w:val="007E09FD"/>
    <w:rsid w:val="007E77E7"/>
    <w:rsid w:val="00804C32"/>
    <w:rsid w:val="00843CAD"/>
    <w:rsid w:val="00874524"/>
    <w:rsid w:val="008C0D76"/>
    <w:rsid w:val="008F4816"/>
    <w:rsid w:val="00952D17"/>
    <w:rsid w:val="009B70BD"/>
    <w:rsid w:val="00A81859"/>
    <w:rsid w:val="00A86273"/>
    <w:rsid w:val="00AA3932"/>
    <w:rsid w:val="00AD6726"/>
    <w:rsid w:val="00AE08A3"/>
    <w:rsid w:val="00AE5E8F"/>
    <w:rsid w:val="00B13E98"/>
    <w:rsid w:val="00B21A75"/>
    <w:rsid w:val="00B509FE"/>
    <w:rsid w:val="00B92065"/>
    <w:rsid w:val="00B969AE"/>
    <w:rsid w:val="00BC7D3F"/>
    <w:rsid w:val="00BF721E"/>
    <w:rsid w:val="00C35A6C"/>
    <w:rsid w:val="00C63A99"/>
    <w:rsid w:val="00CB0A8C"/>
    <w:rsid w:val="00CD15B5"/>
    <w:rsid w:val="00D25949"/>
    <w:rsid w:val="00D41068"/>
    <w:rsid w:val="00D45106"/>
    <w:rsid w:val="00D5273C"/>
    <w:rsid w:val="00D565CE"/>
    <w:rsid w:val="00D6593C"/>
    <w:rsid w:val="00D7549B"/>
    <w:rsid w:val="00DA188D"/>
    <w:rsid w:val="00E26E7C"/>
    <w:rsid w:val="00E6541C"/>
    <w:rsid w:val="00E95CA1"/>
    <w:rsid w:val="00ED00F0"/>
    <w:rsid w:val="00F73494"/>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0DEE"/>
  <w15:docId w15:val="{F107BA9A-3440-44F9-99A3-B202F7A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360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customStyle="1" w:styleId="CharCharCharCharCharCharChar">
    <w:name w:val="Char Char Char Char Char Char Char"/>
    <w:basedOn w:val="Normal"/>
    <w:rsid w:val="006C581A"/>
    <w:pPr>
      <w:spacing w:before="120" w:after="160" w:line="240" w:lineRule="exact"/>
    </w:pPr>
    <w:rPr>
      <w:rFonts w:ascii="Verdana" w:hAnsi="Verdana" w:cs="Arial"/>
      <w:sz w:val="20"/>
      <w:szCs w:val="20"/>
    </w:rPr>
  </w:style>
  <w:style w:type="paragraph" w:styleId="BodyTextIndent">
    <w:name w:val="Body Text Indent"/>
    <w:basedOn w:val="Normal"/>
    <w:link w:val="BodyTextIndentChar"/>
    <w:rsid w:val="006C581A"/>
    <w:pPr>
      <w:spacing w:after="120"/>
      <w:ind w:left="360"/>
    </w:pPr>
  </w:style>
  <w:style w:type="character" w:customStyle="1" w:styleId="BodyTextIndentChar">
    <w:name w:val="Body Text Indent Char"/>
    <w:basedOn w:val="DefaultParagraphFont"/>
    <w:link w:val="BodyTextIndent"/>
    <w:rsid w:val="006C581A"/>
    <w:rPr>
      <w:rFonts w:ascii="Times New Roman" w:eastAsia="Times New Roman" w:hAnsi="Times New Roman" w:cs="Times New Roman"/>
      <w:sz w:val="24"/>
      <w:szCs w:val="24"/>
      <w:lang w:val="en-GB"/>
    </w:rPr>
  </w:style>
  <w:style w:type="paragraph" w:customStyle="1" w:styleId="Default">
    <w:name w:val="Default"/>
    <w:rsid w:val="006C581A"/>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A94F8C"/>
    <w:rPr>
      <w:sz w:val="20"/>
      <w:szCs w:val="20"/>
    </w:rPr>
  </w:style>
  <w:style w:type="character" w:customStyle="1" w:styleId="FootnoteTextChar">
    <w:name w:val="Footnote Text Char"/>
    <w:basedOn w:val="DefaultParagraphFont"/>
    <w:link w:val="FootnoteText"/>
    <w:uiPriority w:val="99"/>
    <w:semiHidden/>
    <w:rsid w:val="00A94F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4F8C"/>
    <w:rPr>
      <w:vertAlign w:val="superscript"/>
    </w:rPr>
  </w:style>
  <w:style w:type="character" w:styleId="Strong">
    <w:name w:val="Strong"/>
    <w:basedOn w:val="DefaultParagraphFont"/>
    <w:uiPriority w:val="22"/>
    <w:qFormat/>
    <w:rsid w:val="00F27F0D"/>
    <w:rPr>
      <w:b/>
      <w:bCs/>
    </w:rPr>
  </w:style>
  <w:style w:type="character" w:customStyle="1" w:styleId="Heading1Char">
    <w:name w:val="Heading 1 Char"/>
    <w:basedOn w:val="DefaultParagraphFont"/>
    <w:link w:val="Heading1"/>
    <w:uiPriority w:val="9"/>
    <w:rsid w:val="00360C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007AD"/>
    <w:pPr>
      <w:tabs>
        <w:tab w:val="center" w:pos="4680"/>
        <w:tab w:val="right" w:pos="9360"/>
      </w:tabs>
    </w:pPr>
  </w:style>
  <w:style w:type="character" w:customStyle="1" w:styleId="HeaderChar">
    <w:name w:val="Header Char"/>
    <w:basedOn w:val="DefaultParagraphFont"/>
    <w:link w:val="Header"/>
    <w:uiPriority w:val="99"/>
    <w:rsid w:val="00900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7AD"/>
    <w:pPr>
      <w:tabs>
        <w:tab w:val="center" w:pos="4680"/>
        <w:tab w:val="right" w:pos="9360"/>
      </w:tabs>
    </w:pPr>
  </w:style>
  <w:style w:type="character" w:customStyle="1" w:styleId="FooterChar">
    <w:name w:val="Footer Char"/>
    <w:basedOn w:val="DefaultParagraphFont"/>
    <w:link w:val="Footer"/>
    <w:uiPriority w:val="99"/>
    <w:rsid w:val="009007A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C63A99"/>
    <w:pPr>
      <w:pBdr>
        <w:top w:val="nil"/>
        <w:left w:val="nil"/>
        <w:bottom w:val="nil"/>
        <w:right w:val="nil"/>
        <w:between w:val="nil"/>
        <w:bar w:val="nil"/>
      </w:pBdr>
    </w:pPr>
    <w:rPr>
      <w:rFonts w:ascii="Gill Sans" w:eastAsia="Gill Sans" w:hAnsi="Gill Sans" w:cs="Gill San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C63A99"/>
    <w:pPr>
      <w:pBdr>
        <w:top w:val="nil"/>
        <w:left w:val="nil"/>
        <w:bottom w:val="nil"/>
        <w:right w:val="nil"/>
        <w:between w:val="nil"/>
        <w:bar w:val="nil"/>
      </w:pBdr>
    </w:pPr>
    <w:rPr>
      <w:rFonts w:ascii="Gill Sans" w:eastAsia="Gill Sans" w:hAnsi="Gill Sans" w:cs="Gill Sans"/>
      <w:color w:val="000000"/>
      <w:sz w:val="20"/>
      <w:szCs w:val="20"/>
      <w:bdr w:val="nil"/>
      <w:lang w:val="en-US"/>
      <w14:textOutline w14:w="0" w14:cap="flat" w14:cmpd="sng" w14:algn="ctr">
        <w14:noFill/>
        <w14:prstDash w14:val="solid"/>
        <w14:bevel/>
      </w14:textOutline>
    </w:rPr>
  </w:style>
  <w:style w:type="numbering" w:customStyle="1" w:styleId="Dash">
    <w:name w:val="Dash"/>
    <w:rsid w:val="00C63A9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013">
      <w:bodyDiv w:val="1"/>
      <w:marLeft w:val="0"/>
      <w:marRight w:val="0"/>
      <w:marTop w:val="0"/>
      <w:marBottom w:val="0"/>
      <w:divBdr>
        <w:top w:val="none" w:sz="0" w:space="0" w:color="auto"/>
        <w:left w:val="none" w:sz="0" w:space="0" w:color="auto"/>
        <w:bottom w:val="none" w:sz="0" w:space="0" w:color="auto"/>
        <w:right w:val="none" w:sz="0" w:space="0" w:color="auto"/>
      </w:divBdr>
    </w:div>
    <w:div w:id="45864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OA88tGx1i6E77R8y5XyloGU3Q==">AMUW2mXmAgFZJuc7VDIHGmm+/xwFexHhK2+F/th16ObWMF2yq6gj8sBOS5b3JeHYQI2lojJZ6NHFO9UAhofYcGkwMzGV0fk6VPw80C5aK9/5STn/iyBDHzBhA62NfMfX6YF3wZgFuTGd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Artur Ishkhyanyan</cp:lastModifiedBy>
  <cp:revision>2</cp:revision>
  <dcterms:created xsi:type="dcterms:W3CDTF">2021-07-28T08:12:00Z</dcterms:created>
  <dcterms:modified xsi:type="dcterms:W3CDTF">2021-07-28T08:12:00Z</dcterms:modified>
</cp:coreProperties>
</file>